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5904"/>
      </w:tblGrid>
      <w:tr>
        <w:tc>
          <w:tcPr>
            <w:tcW w:type="dxa" w:w="494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  <w:shd w:fill="0B1F3A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COMMERCIAL MATERIAL OPPORTUNITY LANDSCAPE</w:t>
            </w:r>
          </w:p>
        </w:tc>
        <w:tc>
          <w:tcPr>
            <w:tcW w:type="dxa" w:w="494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60"/>
            </w:pPr>
            <w:r>
              <w:rPr>
                <w:rFonts w:ascii="Aptos" w:hAnsi="Aptos" w:eastAsia="Aptos"/>
                <w:b/>
                <w:color w:val="6B7280"/>
                <w:sz w:val="16"/>
              </w:rPr>
              <w:t>04  |  STUDY SCOPE</w:t>
            </w:r>
          </w:p>
        </w:tc>
      </w:tr>
    </w:tbl>
    <w:p>
      <w:pPr>
        <w:spacing w:before="120" w:after="240"/>
        <w:jc w:val="right"/>
      </w:pPr>
      <w:r>
        <w:rPr>
          <w:rFonts w:ascii="Aptos" w:hAnsi="Aptos" w:eastAsia="Aptos"/>
          <w:b w:val="0"/>
          <w:color w:val="C8A45D"/>
          <w:sz w:val="8"/>
        </w:rPr>
        <w:t>________________________________________________________________________________</w:t>
      </w:r>
    </w:p>
    <w:p>
      <w:pPr>
        <w:spacing w:after="60"/>
      </w:pPr>
      <w:r>
        <w:rPr>
          <w:rFonts w:ascii="Aptos Display" w:hAnsi="Aptos Display" w:eastAsia="Aptos Display"/>
          <w:b/>
          <w:color w:val="0B1F3A"/>
          <w:sz w:val="56"/>
        </w:rPr>
        <w:t>Study Scope</w:t>
      </w:r>
    </w:p>
    <w:p>
      <w:pPr>
        <w:spacing w:after="240"/>
      </w:pPr>
      <w:r>
        <w:rPr>
          <w:rFonts w:ascii="Aptos" w:hAnsi="Aptos" w:eastAsia="Aptos"/>
          <w:b w:val="0"/>
          <w:color w:val="6B7280"/>
          <w:sz w:val="21"/>
        </w:rPr>
        <w:t>Defines the commercial, technical, and evidence boundaries for Part 1 of the cosmetic packaging lightweighting study.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F4F6F8"/>
            <w:tcBorders>
              <w:top w:val="single" w:sz="8" w:space="0" w:color="E6EAF0"/>
              <w:left w:val="single" w:sz="8" w:space="0" w:color="E6EAF0"/>
              <w:bottom w:val="single" w:sz="8" w:space="0" w:color="E6EAF0"/>
              <w:right w:val="single" w:sz="8" w:space="0" w:color="E6EAF0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49677F"/>
                <w:sz w:val="17"/>
              </w:rPr>
              <w:t>OBJECTIVE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9"/>
              </w:rPr>
              <w:t>Evaluate material-based lightweighting opportunities across cosmetic and personal care packaging, with emphasis on commercial feasibility, premium-versus-mass-market fit, recyclability, formulation compatibility, and cost-performance trade-offs.</w:t>
            </w:r>
          </w:p>
        </w:tc>
      </w:tr>
    </w:tbl>
    <w:p>
      <w:pPr>
        <w:spacing w:before="160" w:after="40"/>
      </w:pPr>
      <w:r>
        <w:rPr>
          <w:rFonts w:ascii="Aptos" w:hAnsi="Aptos" w:eastAsia="Aptos"/>
          <w:b/>
          <w:color w:val="C8A45D"/>
          <w:sz w:val="17"/>
        </w:rPr>
        <w:t>BOUNDARY</w:t>
      </w:r>
    </w:p>
    <w:p>
      <w:pPr>
        <w:spacing w:after="100"/>
      </w:pPr>
      <w:r>
        <w:rPr>
          <w:rFonts w:ascii="Aptos Display" w:hAnsi="Aptos Display" w:eastAsia="Aptos Display"/>
          <w:b/>
          <w:color w:val="0B1F3A"/>
          <w:sz w:val="26"/>
        </w:rPr>
        <w:t>What is included and excluded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94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30" w:type="dxa"/>
              <w:start w:w="160" w:type="dxa"/>
              <w:bottom w:w="120" w:type="dxa"/>
              <w:end w:w="160" w:type="dxa"/>
            </w:tcMar>
            <w:vAlign w:val="top"/>
            <w:shd w:fill="F7FAFC"/>
          </w:tcPr>
          <w:p>
            <w:pPr>
              <w:spacing w:after="120"/>
            </w:pPr>
            <w:r>
              <w:rPr>
                <w:rFonts w:ascii="Aptos" w:hAnsi="Aptos" w:eastAsia="Aptos"/>
                <w:b/>
                <w:color w:val="0B1F3A"/>
                <w:sz w:val="21"/>
              </w:rPr>
              <w:t>IN SCOPE</w:t>
            </w:r>
          </w:p>
          <w:p>
            <w:pPr>
              <w:spacing w:after="80"/>
              <w:ind w:left="173" w:hanging="173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F2937"/>
                <w:sz w:val="17"/>
              </w:rPr>
              <w:t>Cosmetics and personal care packaging formats across premium, masstige, and mass-market contexts.</w:t>
            </w:r>
          </w:p>
          <w:p>
            <w:pPr>
              <w:spacing w:after="80"/>
              <w:ind w:left="173" w:hanging="173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F2937"/>
                <w:sz w:val="17"/>
              </w:rPr>
              <w:t>Primary, secondary, tertiary/e-commerce, and refill packaging layers.</w:t>
            </w:r>
          </w:p>
          <w:p>
            <w:pPr>
              <w:spacing w:after="80"/>
              <w:ind w:left="173" w:hanging="173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F2937"/>
                <w:sz w:val="17"/>
              </w:rPr>
              <w:t>Material-led routes: plastics, glass, aluminum, paperboard, molded fiber, tubes, pouches, caps, closures, pumps, and dispensers.</w:t>
            </w:r>
          </w:p>
          <w:p>
            <w:pPr>
              <w:spacing w:after="80"/>
              <w:ind w:left="173" w:hanging="173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F2937"/>
                <w:sz w:val="17"/>
              </w:rPr>
              <w:t>Material density, weight, cost, recyclability, compatibility, and regulatory screening.</w:t>
            </w:r>
          </w:p>
          <w:p>
            <w:pPr>
              <w:spacing w:after="80"/>
              <w:ind w:left="173" w:hanging="173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F2937"/>
                <w:sz w:val="17"/>
              </w:rPr>
              <w:t>Cross-industry transfer from food, beverage, pharma, healthcare, automotive, aerospace, and electronics.</w:t>
            </w:r>
          </w:p>
          <w:p>
            <w:pPr>
              <w:spacing w:after="80"/>
              <w:ind w:left="173" w:hanging="173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F2937"/>
                <w:sz w:val="17"/>
              </w:rPr>
              <w:t>Commercial opportunity prioritization to guide the complementary patent landscape.</w:t>
            </w:r>
          </w:p>
        </w:tc>
        <w:tc>
          <w:tcPr>
            <w:tcW w:type="dxa" w:w="494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30" w:type="dxa"/>
              <w:start w:w="160" w:type="dxa"/>
              <w:bottom w:w="120" w:type="dxa"/>
              <w:end w:w="160" w:type="dxa"/>
            </w:tcMar>
            <w:vAlign w:val="top"/>
            <w:shd w:fill="FAFAFA"/>
          </w:tcPr>
          <w:p>
            <w:pPr>
              <w:spacing w:after="120"/>
            </w:pPr>
            <w:r>
              <w:rPr>
                <w:rFonts w:ascii="Aptos" w:hAnsi="Aptos" w:eastAsia="Aptos"/>
                <w:b/>
                <w:color w:val="0B1F3A"/>
                <w:sz w:val="21"/>
              </w:rPr>
              <w:t>OUT OF SCOPE</w:t>
            </w:r>
          </w:p>
          <w:p>
            <w:pPr>
              <w:spacing w:after="80"/>
              <w:ind w:left="173" w:hanging="173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F2937"/>
                <w:sz w:val="17"/>
              </w:rPr>
              <w:t>Shape, pack-size, and cube-utilization optimization beyond material-led lightweighting.</w:t>
            </w:r>
          </w:p>
          <w:p>
            <w:pPr>
              <w:spacing w:after="80"/>
              <w:ind w:left="173" w:hanging="173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F2937"/>
                <w:sz w:val="17"/>
              </w:rPr>
              <w:t>Full life-cycle assessment, carbon accounting, or certified environmental claims.</w:t>
            </w:r>
          </w:p>
          <w:p>
            <w:pPr>
              <w:spacing w:after="80"/>
              <w:ind w:left="173" w:hanging="173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F2937"/>
                <w:sz w:val="17"/>
              </w:rPr>
              <w:t>Detailed SKU engineering, tooling design, line trials, or procurement quotations.</w:t>
            </w:r>
          </w:p>
          <w:p>
            <w:pPr>
              <w:spacing w:after="80"/>
              <w:ind w:left="173" w:hanging="173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F2937"/>
                <w:sz w:val="17"/>
              </w:rPr>
              <w:t>Consumer research, brand-positioning strategy, and visual identity redesign.</w:t>
            </w:r>
          </w:p>
          <w:p>
            <w:pPr>
              <w:spacing w:after="80"/>
              <w:ind w:left="173" w:hanging="173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F2937"/>
                <w:sz w:val="17"/>
              </w:rPr>
              <w:t>Freedom-to-operate, legal validity opinions, infringement analysis, or legal advice.</w:t>
            </w:r>
          </w:p>
          <w:p>
            <w:pPr>
              <w:spacing w:after="80"/>
              <w:ind w:left="173" w:hanging="173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 xml:space="preserve">- </w:t>
            </w:r>
            <w:r>
              <w:rPr>
                <w:rFonts w:ascii="Aptos" w:hAnsi="Aptos" w:eastAsia="Aptos"/>
                <w:b w:val="0"/>
                <w:color w:val="1F2937"/>
                <w:sz w:val="17"/>
              </w:rPr>
              <w:t>Final material qualification without formulation, stability, migration, and transport validation.</w:t>
            </w:r>
          </w:p>
        </w:tc>
      </w:tr>
    </w:tbl>
    <w:p>
      <w:pPr>
        <w:spacing w:before="160" w:after="40"/>
      </w:pPr>
      <w:r>
        <w:rPr>
          <w:rFonts w:ascii="Aptos" w:hAnsi="Aptos" w:eastAsia="Aptos"/>
          <w:b/>
          <w:color w:val="C8A45D"/>
          <w:sz w:val="17"/>
        </w:rPr>
        <w:t>COVERAGE LENS</w:t>
      </w:r>
    </w:p>
    <w:p>
      <w:pPr>
        <w:spacing w:after="100"/>
      </w:pPr>
      <w:r>
        <w:rPr>
          <w:rFonts w:ascii="Aptos Display" w:hAnsi="Aptos Display" w:eastAsia="Aptos Display"/>
          <w:b/>
          <w:color w:val="0B1F3A"/>
          <w:sz w:val="26"/>
        </w:rPr>
        <w:t>How the study views the packaging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298"/>
            <w:shd w:fill="F4F6F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Aptos" w:hAnsi="Aptos" w:eastAsia="Aptos"/>
                <w:b/>
                <w:color w:val="0B1F3A"/>
                <w:sz w:val="20"/>
              </w:rPr>
              <w:t>Packaging layers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Primary containers, secondary cartons/boxes/inserts, tertiary/e-commerce protection, and refill formats.</w:t>
            </w:r>
          </w:p>
        </w:tc>
        <w:tc>
          <w:tcPr>
            <w:tcW w:type="dxa" w:w="3298"/>
            <w:shd w:fill="F4F6F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Aptos" w:hAnsi="Aptos" w:eastAsia="Aptos"/>
                <w:b/>
                <w:color w:val="0B1F3A"/>
                <w:sz w:val="20"/>
              </w:rPr>
              <w:t>Material routes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Material substitution, downgauging, lower-density structures, recycled/PCR content, mono-material design, and fiber alternatives.</w:t>
            </w:r>
          </w:p>
        </w:tc>
        <w:tc>
          <w:tcPr>
            <w:tcW w:type="dxa" w:w="3298"/>
            <w:shd w:fill="F4F6F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Aptos" w:hAnsi="Aptos" w:eastAsia="Aptos"/>
                <w:b/>
                <w:color w:val="0B1F3A"/>
                <w:sz w:val="20"/>
              </w:rPr>
              <w:t>Segment fit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Separate evaluation logic for premium/luxe packaging and mass-market packaging, with masstige treated as an overlap zone.</w:t>
            </w:r>
          </w:p>
        </w:tc>
      </w:tr>
    </w:tbl>
    <w:p>
      <w:pPr>
        <w:spacing w:before="160" w:after="40"/>
      </w:pPr>
      <w:r>
        <w:rPr>
          <w:rFonts w:ascii="Aptos" w:hAnsi="Aptos" w:eastAsia="Aptos"/>
          <w:b/>
          <w:color w:val="C8A45D"/>
          <w:sz w:val="17"/>
        </w:rPr>
        <w:t>ASSUMPTIONS</w:t>
      </w:r>
    </w:p>
    <w:p>
      <w:pPr>
        <w:spacing w:after="100"/>
      </w:pPr>
      <w:r>
        <w:rPr>
          <w:rFonts w:ascii="Aptos Display" w:hAnsi="Aptos Display" w:eastAsia="Aptos Display"/>
          <w:b/>
          <w:color w:val="0B1F3A"/>
          <w:sz w:val="26"/>
        </w:rPr>
        <w:t>Boundary conditions for interpretation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93"/>
            <w:shd w:fill="FFFDF7"/>
            <w:tcBorders>
              <w:top w:val="single" w:sz="6" w:space="0" w:color="E9D8A6"/>
              <w:left w:val="single" w:sz="6" w:space="0" w:color="E9D8A6"/>
              <w:bottom w:val="single" w:sz="6" w:space="0" w:color="E9D8A6"/>
              <w:right w:val="single" w:sz="6" w:space="0" w:color="E9D8A6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Logistics impact is treated as weight-linked for this study; commercial evidence identifies attractive material routes; patent evidence will screen crowding, risk signals, and white-space potential; recommendations require product-specific validation before implementation.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9CA3AF"/>
        <w:sz w:val="15"/>
      </w:rPr>
      <w:t>Cosmetic Packaging Lightweighting Study  |  Prepared for GreyB  |  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