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BBR-SAT: Orbit-Aware Congestion Control for Multi-Orbit Satellite QUIC Handovers</w:t>
      </w:r>
    </w:p>
    <w:p>
      <w:pPr>
        <w:jc w:val="center"/>
      </w:pPr>
      <w:r>
        <w:rPr>
          <w:sz w:val="22"/>
        </w:rPr>
        <w:t>Rajat Bhambani</w:t>
        <w:br/>
        <w:t>Independent Research Contribution</w:t>
        <w:br/>
        <w:t>bhambani.rajat@gmail.com</w:t>
      </w:r>
    </w:p>
    <w:p/>
    <w:p>
      <w:pPr>
        <w:pStyle w:val="Heading1"/>
      </w:pPr>
      <w:r>
        <w:rPr>
          <w:color w:val="000000"/>
        </w:rPr>
        <w:t>Abstract</w:t>
      </w:r>
    </w:p>
    <w:p>
      <w:pPr>
        <w:spacing w:before="0" w:after="80"/>
        <w:ind w:firstLine="360"/>
      </w:pPr>
      <w:r>
        <w:t xml:space="preserve">Low-Earth orbit (LEO), medium-Earth orbit (MEO), and geostationary (GEO) satellite constellations are increasingly deployed together, creating multi-orbit networks in which a single QUIC connection may traverse orbit-class boundaries mid-flight. Such handovers impose abrupt, step-change shifts in available bandwidth (up to 5× reduction) and round-trip time (up to 12× increase), which existing congestion-control algorithms handle poorly: BBRv3 stalls for the duration of its two-cycle bandwidth filter, and simple heuristics such as congestion-window freeze or send-pause succeed only at a single, carefully tuned lead time. We present </w:t>
      </w:r>
      <w:r>
        <w:rPr>
          <w:b/>
        </w:rPr>
        <w:t>BBR-SAT</w:t>
      </w:r>
      <w:r>
        <w:t xml:space="preserve">, a minimal extension of BBRv3 that equips the sender with an orbit parameter table seeded from ephemeris data and a two-phase handover protocol: a PREDICTED signal initiates a proactive queue drain via </w:t>
      </w:r>
      <w:r>
        <w:rPr>
          <w:rFonts w:ascii="Courier New" w:hAnsi="Courier New"/>
          <w:sz w:val="20"/>
        </w:rPr>
        <w:t>ProbeBW_DOWN</w:t>
      </w:r>
      <w:r>
        <w:t>, and a CONFIRMED signal resets the BDP context directly from the orbit table. Implemented in picoquic and evaluated in a zero-loss shared-link simulator across all six pairwise LEO/MEO/GEO transitions at three handover times and seven advance lead times, BBR-SAT converges to 90% of new-orbit capacity in 2.5 s for the critical LEO→GEO transition — the only evaluated mechanism to converge on this transition at any lead time from 0 to 20 s — while reducing peak queue occupancy by 44× relative to vanilla BBRv3. Fairness analysis shows that BBR-SAT co-exists equitably with competing BBRv3 flows (Jain J = 0.994) and neither worsens nor repairs the pre-existing BBRv3 deference to CUBIC.</w:t>
      </w:r>
    </w:p>
    <w:p>
      <w:pPr>
        <w:spacing w:after="160"/>
      </w:pPr>
      <w:r>
        <w:rPr>
          <w:b/>
        </w:rPr>
        <w:t xml:space="preserve">Keywords: </w:t>
      </w:r>
      <w:r>
        <w:t>satellite communications, QUIC, congestion control, BBR, handover, multi-orbit networks, LEO, GEO</w:t>
      </w:r>
    </w:p>
    <w:p>
      <w:pPr>
        <w:pStyle w:val="Heading1"/>
      </w:pPr>
      <w:r>
        <w:rPr>
          <w:color w:val="000000"/>
        </w:rPr>
        <w:t>I. Introduction</w:t>
      </w:r>
    </w:p>
    <w:p>
      <w:pPr>
        <w:spacing w:before="0" w:after="80"/>
        <w:ind w:firstLine="360"/>
      </w:pPr>
      <w:r>
        <w:t xml:space="preserve">The deployment of large LEO constellations (Starlink, OneWeb, Amazon Kuiper) [1,2] alongside legacy MEO (O3b mPOWER) and GEO (ViaSat-3) infrastructure has created a new class of network event: the </w:t>
      </w:r>
      <w:r>
        <w:rPr>
          <w:i/>
        </w:rPr>
        <w:t>inter-orbit handover</w:t>
      </w:r>
      <w:r>
        <w:t xml:space="preserve">, in which an active transport connection migrates between satellite beams belonging to orbit classes with fundamentally different propagation characteristics. Such transitions are </w:t>
      </w:r>
      <w:r>
        <w:rPr>
          <w:i/>
        </w:rPr>
        <w:t>abrupt</w:t>
      </w:r>
      <w:r>
        <w:t xml:space="preserve"> — the link properties change at the granularity of a single RTT — and </w:t>
      </w:r>
      <w:r>
        <w:rPr>
          <w:i/>
        </w:rPr>
        <w:t>asymmetric</w:t>
      </w:r>
      <w:r>
        <w:t xml:space="preserve">: a LEO→GEO handover simultaneously reduces the upload bottleneck rate by 3.3× (10→3 Mbps) and increases the round-trip propagation delay by ~12× (50→580 ms). Because the GEO BDP (3 Mbps × 580 ms = 218 KB) exceeds the LEO BDP (10 Mbps × 50 ms = 62 KB) by 3.5×, the </w:t>
      </w:r>
      <w:r>
        <w:rPr>
          <w:i/>
        </w:rPr>
        <w:t>new</w:t>
      </w:r>
      <w:r>
        <w:t xml:space="preserve"> orbit requires a </w:t>
      </w:r>
      <w:r>
        <w:rPr>
          <w:i/>
        </w:rPr>
        <w:t>larger</w:t>
      </w:r>
      <w:r>
        <w:t xml:space="preserve"> inflight window — but at a </w:t>
      </w:r>
      <w:r>
        <w:rPr>
          <w:i/>
        </w:rPr>
        <w:t>much lower</w:t>
      </w:r>
      <w:r>
        <w:t xml:space="preserve"> pacing rate.</w:t>
      </w:r>
    </w:p>
    <w:p>
      <w:pPr>
        <w:spacing w:before="0" w:after="80"/>
        <w:ind w:firstLine="360"/>
      </w:pPr>
      <w:r>
        <w:t xml:space="preserve">Modern QUIC stacks running BBRv3 [3] are particularly poorly suited to absorb this transition. BBRv3's two-cycle </w:t>
      </w:r>
      <w:r>
        <w:rPr>
          <w:rFonts w:ascii="Courier New" w:hAnsi="Courier New"/>
          <w:sz w:val="20"/>
        </w:rPr>
        <w:t>MaxBwFilter</w:t>
      </w:r>
      <w:r>
        <w:t xml:space="preserve"> requires approximately 8 × RTT_new to clear its pre-handover bandwidth estimate. On a GEO link (RTT ≈ 580 ms) that amounts to roughly 5 seconds of sustained over-pacing at 10 Mbps into a 3 Mbps pipe, accumulating ≈12 MB of queued data and delivering only 2.3 MB total goodput in a 90-second window — 8× below BBR-SAT's 18.6 MB.</w:t>
      </w:r>
    </w:p>
    <w:p>
      <w:pPr>
        <w:spacing w:before="0" w:after="80"/>
        <w:ind w:firstLine="360"/>
      </w:pPr>
      <w:r>
        <w:t xml:space="preserve">The central insight motivating BBR-SAT is that satellite operators have </w:t>
      </w:r>
      <w:r>
        <w:rPr>
          <w:i/>
        </w:rPr>
        <w:t>advance knowledge</w:t>
      </w:r>
      <w:r>
        <w:t xml:space="preserve"> of handover events: orbital mechanics are deterministic, and ground-control systems routinely predict beam transitions minutes ahead of time. This knowledge can be surfaced to the transport layer as two signals: (1) PREDICTED, issued seconds to tens of seconds before the event, and (2) CONFIRMED, issued at the moment the beam switch completes. BBR-SAT consumes these signals to execute a two-phase response: a proactive queue drain aligned with the current (pre-handover) RTT, followed by an instantaneous BDP context switch that seeds the post-handover pacing rate and congestion window directly from a per-orbit parameter table.</w:t>
      </w:r>
    </w:p>
    <w:p>
      <w:pPr>
        <w:spacing w:before="0" w:after="80"/>
        <w:ind w:firstLine="360"/>
      </w:pPr>
      <w:r>
        <w:t>This paper contributes: (1) the BBR-SAT algorithm — two new signals, an orbit parameter table, and a two-phase handover protocol integrated into BBRv3 in &lt;100 lines (§III); (2) a zero-loss shared-link simulator spanning all six pairwise orbit transitions at three handover times and six lead times (§IV); and (3) empirical demonstration that BBR-SAT is the only evaluated mechanism to converge at the critical LEO→GEO transition across lead times 0–20 s, with fairness results confirming that advance knowledge does not translate into a bandwidth advantage (§§V–B).</w:t>
      </w:r>
    </w:p>
    <w:p>
      <w:pPr>
        <w:pStyle w:val="Heading1"/>
      </w:pPr>
      <w:r>
        <w:rPr>
          <w:color w:val="000000"/>
        </w:rPr>
        <w:t>II. Background and Related Work</w:t>
      </w:r>
    </w:p>
    <w:p>
      <w:pPr>
        <w:pStyle w:val="Heading2"/>
      </w:pPr>
      <w:r>
        <w:rPr>
          <w:color w:val="000000"/>
        </w:rPr>
        <w:t>A. BBRv3 Filter Mechanics</w:t>
      </w:r>
    </w:p>
    <w:p>
      <w:pPr>
        <w:spacing w:before="0" w:after="80"/>
        <w:ind w:firstLine="360"/>
      </w:pPr>
      <w:r>
        <w:t xml:space="preserve">BBR [4] drives the sender at the estimated bottleneck bandwidth using two long-term filters. The </w:t>
      </w:r>
      <w:r>
        <w:rPr>
          <w:rFonts w:ascii="Courier New" w:hAnsi="Courier New"/>
          <w:sz w:val="20"/>
        </w:rPr>
        <w:t>MaxBwFilter</w:t>
      </w:r>
      <w:r>
        <w:t xml:space="preserve"> is a two-slot windowed maximum over the last two ProbeBW cycles; each cycle spans ~4 RTTs, so on a GEO link (RTT ≈ 580 ms) clearing a stale pre-handover estimate takes 8 × 580 ≈ 4,640 ms. The </w:t>
      </w:r>
      <w:r>
        <w:rPr>
          <w:rFonts w:ascii="Courier New" w:hAnsi="Courier New"/>
          <w:sz w:val="20"/>
        </w:rPr>
        <w:t>min_rtt</w:t>
      </w:r>
      <w:r>
        <w:t xml:space="preserve"> filter holds the minimum observed RTT over a 10-second window; a LEO→GEO transition (50→580 ms) leaves the sender calibrated to the wrong path delay for up to 10 s. BBRv3 [3] adds </w:t>
      </w:r>
      <w:r>
        <w:rPr>
          <w:rFonts w:ascii="Courier New" w:hAnsi="Courier New"/>
          <w:sz w:val="20"/>
        </w:rPr>
        <w:t>bw_hi</w:t>
      </w:r>
      <w:r>
        <w:t xml:space="preserve"> (long-term delivery-rate ceiling) and </w:t>
      </w:r>
      <w:r>
        <w:rPr>
          <w:rFonts w:ascii="Courier New" w:hAnsi="Courier New"/>
          <w:sz w:val="20"/>
        </w:rPr>
        <w:t>inflight_hi</w:t>
      </w:r>
      <w:r>
        <w:t xml:space="preserve"> (loss-driven inflight limit), neither of which adapts on the timescale of a beam switch.</w:t>
      </w:r>
    </w:p>
    <w:p>
      <w:pPr>
        <w:pStyle w:val="Heading2"/>
      </w:pPr>
      <w:r>
        <w:rPr>
          <w:color w:val="000000"/>
        </w:rPr>
        <w:t>B. Prior Work on Satellite Handover CCA</w:t>
      </w:r>
    </w:p>
    <w:p>
      <w:pPr>
        <w:spacing w:before="0" w:after="80"/>
        <w:ind w:firstLine="360"/>
      </w:pPr>
      <w:r>
        <w:t>Five intra-LEO cross-layer mechanisms appeared in 2024–2025: StarQUIC [5], SATPIPE [6], LeoCC [7], Creo [8], and OrbCC [9]; Table I summarises their signal and algorithmic approach. All operate within a single LEO constellation and none handle cross-orbit transitions between orbit classes with fundamentally different propagation regimes.</w:t>
      </w:r>
    </w:p>
    <w:p>
      <w:pPr>
        <w:spacing w:before="0" w:after="80"/>
        <w:ind w:firstLine="360"/>
      </w:pPr>
      <w:r>
        <w:t xml:space="preserve">At the IETF, Lai et al. [10] (draft-lai-ccwg-lsncc-01) define the </w:t>
      </w:r>
      <w:r>
        <w:rPr>
          <w:i/>
        </w:rPr>
        <w:t>Path Phase Boundary</w:t>
      </w:r>
      <w:r>
        <w:t xml:space="preserve"> (PPB): an advisory signal that path conditions may have changed discontinuously. PPB is reactive, parameter-free, and CCA-agnostic — it identifies the problem but prescribes no algorithmic response. Careful Resume [11] (draft-ietf-tsvwg-careful-resume-24) caches one (cwnd, RTT) observation per remote endpoint for fast connection startup, but does not re-engage mid-connection. Its only satellite evaluation tests CUBIC, not BBR [12].</w:t>
      </w:r>
    </w:p>
    <w:p>
      <w:pPr>
        <w:spacing w:before="0" w:after="80"/>
        <w:ind w:firstLine="360"/>
      </w:pPr>
      <w:r>
        <w:t xml:space="preserve">BBR-SAT is motivated by the PPB problem statement but differs structurally: it fires </w:t>
      </w:r>
      <w:r>
        <w:rPr>
          <w:i/>
        </w:rPr>
        <w:t>before</w:t>
      </w:r>
      <w:r>
        <w:t xml:space="preserve"> the event (predictive), carries the target orbit class (parameterized), and triggers a specific BBRv3 state-machine response (BDP context switch). The defining gap it fills — cross-orbit mid-connection BDP switching — is absent from all prior work.</w:t>
      </w:r>
    </w:p>
    <w:p>
      <w:pPr>
        <w:spacing w:before="120" w:after="40"/>
      </w:pPr>
      <w:r>
        <w:rPr>
          <w:b/>
          <w:sz w:val="20"/>
        </w:rPr>
        <w:t>Table I. Satellite handover CCA mechanisms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20"/>
              </w:rPr>
              <w:t>Mechanism</w:t>
            </w:r>
          </w:p>
        </w:tc>
        <w:tc>
          <w:tcPr>
            <w:tcW w:type="dxa" w:w="2340"/>
          </w:tcPr>
          <w:p>
            <w:pPr>
              <w:jc w:val="center"/>
            </w:pPr>
            <w:r>
              <w:rPr>
                <w:b/>
                <w:sz w:val="20"/>
              </w:rPr>
              <w:t>Mid-Conn?</w:t>
            </w:r>
          </w:p>
        </w:tc>
        <w:tc>
          <w:tcPr>
            <w:tcW w:type="dxa" w:w="2340"/>
          </w:tcPr>
          <w:p>
            <w:pPr>
              <w:jc w:val="center"/>
            </w:pPr>
            <w:r>
              <w:rPr>
                <w:b/>
                <w:sz w:val="20"/>
              </w:rPr>
              <w:t>Cross-Orbit?</w:t>
            </w:r>
          </w:p>
        </w:tc>
        <w:tc>
          <w:tcPr>
            <w:tcW w:type="dxa" w:w="2340"/>
          </w:tcPr>
          <w:p>
            <w:pPr>
              <w:jc w:val="center"/>
            </w:pPr>
            <w:r>
              <w:rPr>
                <w:b/>
                <w:sz w:val="20"/>
              </w:rPr>
              <w:t>Signal</w:t>
            </w:r>
          </w:p>
        </w:tc>
      </w:tr>
      <w:tr>
        <w:tc>
          <w:tcPr>
            <w:tcW w:type="dxa" w:w="2340"/>
          </w:tcPr>
          <w:p>
            <w:pPr>
              <w:jc w:val="center"/>
            </w:pPr>
            <w:r>
              <w:rPr>
                <w:sz w:val="20"/>
              </w:rPr>
              <w:t>PPB [10]</w:t>
            </w:r>
          </w:p>
        </w:tc>
        <w:tc>
          <w:tcPr>
            <w:tcW w:type="dxa" w:w="2340"/>
          </w:tcPr>
          <w:p>
            <w:pPr>
              <w:jc w:val="center"/>
            </w:pPr>
            <w:r>
              <w:rPr>
                <w:sz w:val="20"/>
              </w:rPr>
              <w:t>reactive</w:t>
            </w:r>
          </w:p>
        </w:tc>
        <w:tc>
          <w:tcPr>
            <w:tcW w:type="dxa" w:w="2340"/>
          </w:tcPr>
          <w:p>
            <w:pPr>
              <w:jc w:val="center"/>
            </w:pPr>
            <w:r>
              <w:rPr>
                <w:sz w:val="20"/>
              </w:rPr>
              <w:t>No</w:t>
            </w:r>
          </w:p>
        </w:tc>
        <w:tc>
          <w:tcPr>
            <w:tcW w:type="dxa" w:w="2340"/>
          </w:tcPr>
          <w:p>
            <w:pPr>
              <w:jc w:val="center"/>
            </w:pPr>
            <w:r>
              <w:rPr>
                <w:sz w:val="20"/>
              </w:rPr>
              <w:t>ICMP probe</w:t>
            </w:r>
          </w:p>
        </w:tc>
      </w:tr>
      <w:tr>
        <w:tc>
          <w:tcPr>
            <w:tcW w:type="dxa" w:w="2340"/>
          </w:tcPr>
          <w:p>
            <w:pPr>
              <w:jc w:val="center"/>
            </w:pPr>
            <w:r>
              <w:rPr>
                <w:sz w:val="20"/>
              </w:rPr>
              <w:t>Careful Resume [11]</w:t>
            </w:r>
          </w:p>
        </w:tc>
        <w:tc>
          <w:tcPr>
            <w:tcW w:type="dxa" w:w="2340"/>
          </w:tcPr>
          <w:p>
            <w:pPr>
              <w:jc w:val="center"/>
            </w:pPr>
            <w:r>
              <w:rPr>
                <w:sz w:val="20"/>
              </w:rPr>
              <w:t>No</w:t>
            </w:r>
          </w:p>
        </w:tc>
        <w:tc>
          <w:tcPr>
            <w:tcW w:type="dxa" w:w="2340"/>
          </w:tcPr>
          <w:p>
            <w:pPr>
              <w:jc w:val="center"/>
            </w:pPr>
            <w:r>
              <w:rPr>
                <w:sz w:val="20"/>
              </w:rPr>
              <w:t>No</w:t>
            </w:r>
          </w:p>
        </w:tc>
        <w:tc>
          <w:tcPr>
            <w:tcW w:type="dxa" w:w="2340"/>
          </w:tcPr>
          <w:p>
            <w:pPr>
              <w:jc w:val="center"/>
            </w:pPr>
            <w:r>
              <w:rPr>
                <w:sz w:val="20"/>
              </w:rPr>
              <w:t>cached obs.</w:t>
            </w:r>
          </w:p>
        </w:tc>
      </w:tr>
      <w:tr>
        <w:tc>
          <w:tcPr>
            <w:tcW w:type="dxa" w:w="2340"/>
          </w:tcPr>
          <w:p>
            <w:pPr>
              <w:jc w:val="center"/>
            </w:pPr>
            <w:r>
              <w:rPr>
                <w:sz w:val="20"/>
              </w:rPr>
              <w:t>StarQUIC [5]</w:t>
            </w:r>
          </w:p>
        </w:tc>
        <w:tc>
          <w:tcPr>
            <w:tcW w:type="dxa" w:w="2340"/>
          </w:tcPr>
          <w:p>
            <w:pPr>
              <w:jc w:val="center"/>
            </w:pPr>
            <w:r>
              <w:rPr>
                <w:sz w:val="20"/>
              </w:rPr>
              <w:t>Yes</w:t>
            </w:r>
          </w:p>
        </w:tc>
        <w:tc>
          <w:tcPr>
            <w:tcW w:type="dxa" w:w="2340"/>
          </w:tcPr>
          <w:p>
            <w:pPr>
              <w:jc w:val="center"/>
            </w:pPr>
            <w:r>
              <w:rPr>
                <w:sz w:val="20"/>
              </w:rPr>
              <w:t>No</w:t>
            </w:r>
          </w:p>
        </w:tc>
        <w:tc>
          <w:tcPr>
            <w:tcW w:type="dxa" w:w="2340"/>
          </w:tcPr>
          <w:p>
            <w:pPr>
              <w:jc w:val="center"/>
            </w:pPr>
            <w:r>
              <w:rPr>
                <w:sz w:val="20"/>
              </w:rPr>
              <w:t>15-s sched.</w:t>
            </w:r>
          </w:p>
        </w:tc>
      </w:tr>
      <w:tr>
        <w:tc>
          <w:tcPr>
            <w:tcW w:type="dxa" w:w="2340"/>
          </w:tcPr>
          <w:p>
            <w:pPr>
              <w:jc w:val="center"/>
            </w:pPr>
            <w:r>
              <w:rPr>
                <w:sz w:val="20"/>
              </w:rPr>
              <w:t>SATPIPE [6]</w:t>
            </w:r>
          </w:p>
        </w:tc>
        <w:tc>
          <w:tcPr>
            <w:tcW w:type="dxa" w:w="2340"/>
          </w:tcPr>
          <w:p>
            <w:pPr>
              <w:jc w:val="center"/>
            </w:pPr>
            <w:r>
              <w:rPr>
                <w:sz w:val="20"/>
              </w:rPr>
              <w:t>Yes</w:t>
            </w:r>
          </w:p>
        </w:tc>
        <w:tc>
          <w:tcPr>
            <w:tcW w:type="dxa" w:w="2340"/>
          </w:tcPr>
          <w:p>
            <w:pPr>
              <w:jc w:val="center"/>
            </w:pPr>
            <w:r>
              <w:rPr>
                <w:sz w:val="20"/>
              </w:rPr>
              <w:t>No</w:t>
            </w:r>
          </w:p>
        </w:tc>
        <w:tc>
          <w:tcPr>
            <w:tcW w:type="dxa" w:w="2340"/>
          </w:tcPr>
          <w:p>
            <w:pPr>
              <w:jc w:val="center"/>
            </w:pPr>
            <w:r>
              <w:rPr>
                <w:sz w:val="20"/>
              </w:rPr>
              <w:t>NTP sched.</w:t>
            </w:r>
          </w:p>
        </w:tc>
      </w:tr>
      <w:tr>
        <w:tc>
          <w:tcPr>
            <w:tcW w:type="dxa" w:w="2340"/>
          </w:tcPr>
          <w:p>
            <w:pPr>
              <w:jc w:val="center"/>
            </w:pPr>
            <w:r>
              <w:rPr>
                <w:sz w:val="20"/>
              </w:rPr>
              <w:t>LeoCC [7]</w:t>
            </w:r>
          </w:p>
        </w:tc>
        <w:tc>
          <w:tcPr>
            <w:tcW w:type="dxa" w:w="2340"/>
          </w:tcPr>
          <w:p>
            <w:pPr>
              <w:jc w:val="center"/>
            </w:pPr>
            <w:r>
              <w:rPr>
                <w:sz w:val="20"/>
              </w:rPr>
              <w:t>Yes</w:t>
            </w:r>
          </w:p>
        </w:tc>
        <w:tc>
          <w:tcPr>
            <w:tcW w:type="dxa" w:w="2340"/>
          </w:tcPr>
          <w:p>
            <w:pPr>
              <w:jc w:val="center"/>
            </w:pPr>
            <w:r>
              <w:rPr>
                <w:sz w:val="20"/>
              </w:rPr>
              <w:t>No</w:t>
            </w:r>
          </w:p>
        </w:tc>
        <w:tc>
          <w:tcPr>
            <w:tcW w:type="dxa" w:w="2340"/>
          </w:tcPr>
          <w:p>
            <w:pPr>
              <w:jc w:val="center"/>
            </w:pPr>
            <w:r>
              <w:rPr>
                <w:sz w:val="20"/>
              </w:rPr>
              <w:t>ICMP probe</w:t>
            </w:r>
          </w:p>
        </w:tc>
      </w:tr>
      <w:tr>
        <w:tc>
          <w:tcPr>
            <w:tcW w:type="dxa" w:w="2340"/>
          </w:tcPr>
          <w:p>
            <w:pPr>
              <w:jc w:val="center"/>
            </w:pPr>
            <w:r>
              <w:rPr>
                <w:sz w:val="20"/>
              </w:rPr>
              <w:t>Creo [8]</w:t>
            </w:r>
          </w:p>
        </w:tc>
        <w:tc>
          <w:tcPr>
            <w:tcW w:type="dxa" w:w="2340"/>
          </w:tcPr>
          <w:p>
            <w:pPr>
              <w:jc w:val="center"/>
            </w:pPr>
            <w:r>
              <w:rPr>
                <w:sz w:val="20"/>
              </w:rPr>
              <w:t>Yes</w:t>
            </w:r>
          </w:p>
        </w:tc>
        <w:tc>
          <w:tcPr>
            <w:tcW w:type="dxa" w:w="2340"/>
          </w:tcPr>
          <w:p>
            <w:pPr>
              <w:jc w:val="center"/>
            </w:pPr>
            <w:r>
              <w:rPr>
                <w:sz w:val="20"/>
              </w:rPr>
              <w:t>No</w:t>
            </w:r>
          </w:p>
        </w:tc>
        <w:tc>
          <w:tcPr>
            <w:tcW w:type="dxa" w:w="2340"/>
          </w:tcPr>
          <w:p>
            <w:pPr>
              <w:jc w:val="center"/>
            </w:pPr>
            <w:r>
              <w:rPr>
                <w:sz w:val="20"/>
              </w:rPr>
              <w:t>cross-layer</w:t>
            </w:r>
          </w:p>
        </w:tc>
      </w:tr>
      <w:tr>
        <w:tc>
          <w:tcPr>
            <w:tcW w:type="dxa" w:w="2340"/>
          </w:tcPr>
          <w:p>
            <w:pPr>
              <w:jc w:val="center"/>
            </w:pPr>
            <w:r>
              <w:rPr>
                <w:sz w:val="20"/>
              </w:rPr>
              <w:t>OrbCC [9]</w:t>
            </w:r>
          </w:p>
        </w:tc>
        <w:tc>
          <w:tcPr>
            <w:tcW w:type="dxa" w:w="2340"/>
          </w:tcPr>
          <w:p>
            <w:pPr>
              <w:jc w:val="center"/>
            </w:pPr>
            <w:r>
              <w:rPr>
                <w:sz w:val="20"/>
              </w:rPr>
              <w:t>Yes</w:t>
            </w:r>
          </w:p>
        </w:tc>
        <w:tc>
          <w:tcPr>
            <w:tcW w:type="dxa" w:w="2340"/>
          </w:tcPr>
          <w:p>
            <w:pPr>
              <w:jc w:val="center"/>
            </w:pPr>
            <w:r>
              <w:rPr>
                <w:sz w:val="20"/>
              </w:rPr>
              <w:t>No</w:t>
            </w:r>
          </w:p>
        </w:tc>
        <w:tc>
          <w:tcPr>
            <w:tcW w:type="dxa" w:w="2340"/>
          </w:tcPr>
          <w:p>
            <w:pPr>
              <w:jc w:val="center"/>
            </w:pPr>
            <w:r>
              <w:rPr>
                <w:sz w:val="20"/>
              </w:rPr>
              <w:t>INT</w:t>
            </w:r>
          </w:p>
        </w:tc>
      </w:tr>
      <w:tr>
        <w:tc>
          <w:tcPr>
            <w:tcW w:type="dxa" w:w="2340"/>
          </w:tcPr>
          <w:p>
            <w:pPr>
              <w:jc w:val="center"/>
            </w:pPr>
            <w:r>
              <w:rPr>
                <w:b/>
                <w:sz w:val="20"/>
              </w:rPr>
              <w:t>BBR-SAT (this work)</w:t>
            </w:r>
          </w:p>
        </w:tc>
        <w:tc>
          <w:tcPr>
            <w:tcW w:type="dxa" w:w="2340"/>
          </w:tcPr>
          <w:p>
            <w:pPr>
              <w:jc w:val="center"/>
            </w:pPr>
            <w:r>
              <w:rPr>
                <w:sz w:val="20"/>
              </w:rPr>
              <w:t>Yes</w:t>
            </w:r>
          </w:p>
        </w:tc>
        <w:tc>
          <w:tcPr>
            <w:tcW w:type="dxa" w:w="2340"/>
          </w:tcPr>
          <w:p>
            <w:pPr>
              <w:jc w:val="center"/>
            </w:pPr>
            <w:r>
              <w:rPr>
                <w:b/>
                <w:sz w:val="20"/>
              </w:rPr>
              <w:t>Yes</w:t>
            </w:r>
          </w:p>
        </w:tc>
        <w:tc>
          <w:tcPr>
            <w:tcW w:type="dxa" w:w="2340"/>
          </w:tcPr>
          <w:p>
            <w:pPr>
              <w:jc w:val="center"/>
            </w:pPr>
            <w:r>
              <w:rPr>
                <w:sz w:val="20"/>
              </w:rPr>
              <w:t>eph./INT/probe</w:t>
            </w:r>
          </w:p>
        </w:tc>
      </w:tr>
    </w:tbl>
    <w:p/>
    <w:p>
      <w:pPr>
        <w:spacing w:before="0" w:after="80"/>
        <w:ind w:firstLine="360"/>
      </w:pPr>
      <w:r>
        <w:t>Legacy work addressed GEO-specific impairments: PEPs and Hybla [13] improve TCP on high-latency links; characterisation of LEO paths [2, 14] documents the dynamics that make inter-orbit transitions damaging. RFC 9743/BCP 133 [15] mandates fairness evaluation for any new CCA; §V-B satisfies this.</w:t>
      </w:r>
    </w:p>
    <w:p>
      <w:pPr>
        <w:pStyle w:val="Heading1"/>
      </w:pPr>
      <w:r>
        <w:rPr>
          <w:color w:val="000000"/>
        </w:rPr>
        <w:t>III. BBR-SAT Design</w:t>
      </w:r>
    </w:p>
    <w:p>
      <w:pPr>
        <w:pStyle w:val="Heading2"/>
      </w:pPr>
      <w:r>
        <w:rPr>
          <w:color w:val="000000"/>
        </w:rPr>
        <w:t>A. Orbit Parameter Table</w:t>
      </w:r>
    </w:p>
    <w:p>
      <w:pPr>
        <w:spacing w:before="0" w:after="80"/>
        <w:ind w:firstLine="360"/>
      </w:pPr>
      <w:r>
        <w:t xml:space="preserve">BBR-SAT augments the per-connection BBRv3 state with a three-entry </w:t>
      </w:r>
      <w:r>
        <w:rPr>
          <w:i/>
        </w:rPr>
        <w:t>orbit table</w:t>
      </w:r>
      <w:r>
        <w:t xml:space="preserve">, one entry per orbit class (LEO, MEO, GEO). Each entry stores: </w:t>
      </w:r>
      <w:r>
        <w:rPr>
          <w:rFonts w:ascii="Courier New" w:hAnsi="Courier New"/>
          <w:sz w:val="20"/>
        </w:rPr>
        <w:t>min_rtt_us</w:t>
      </w:r>
      <w:r>
        <w:t xml:space="preserve"> (ephemeris-derived propagation RTT in µs), </w:t>
      </w:r>
      <w:r>
        <w:rPr>
          <w:rFonts w:ascii="Courier New" w:hAnsi="Courier New"/>
          <w:sz w:val="20"/>
        </w:rPr>
        <w:t>bw_hi</w:t>
      </w:r>
      <w:r>
        <w:t xml:space="preserve"> (nominal beam capacity in bits/s), and </w:t>
      </w:r>
      <w:r>
        <w:rPr>
          <w:rFonts w:ascii="Courier New" w:hAnsi="Courier New"/>
          <w:sz w:val="20"/>
        </w:rPr>
        <w:t>bw_confidence</w:t>
      </w:r>
      <w:r>
        <w:t xml:space="preserve"> (EPHEMERIS or MEASURED).</w:t>
      </w:r>
    </w:p>
    <w:p>
      <w:pPr>
        <w:spacing w:before="0" w:after="80"/>
        <w:ind w:firstLine="360"/>
      </w:pPr>
      <w:r>
        <w:t xml:space="preserve">Entries are populated at connection setup from satellite ephemeris data supplied by the operator; </w:t>
      </w:r>
      <w:r>
        <w:rPr>
          <w:rFonts w:ascii="Courier New" w:hAnsi="Courier New"/>
          <w:sz w:val="20"/>
        </w:rPr>
        <w:t>bw_confidence</w:t>
      </w:r>
      <w:r>
        <w:t xml:space="preserve"> transitions from EPHEMERIS to MEASURED once the algorithm has accumulated one ProbeBW cycle on that orbit. The </w:t>
      </w:r>
      <w:r>
        <w:rPr>
          <w:rFonts w:ascii="Courier New" w:hAnsi="Courier New"/>
          <w:sz w:val="20"/>
        </w:rPr>
        <w:t>min_rtt</w:t>
      </w:r>
      <w:r>
        <w:t xml:space="preserve"> field is trusted immediately because propagation delay is deterministic given orbital geometry; the </w:t>
      </w:r>
      <w:r>
        <w:rPr>
          <w:rFonts w:ascii="Courier New" w:hAnsi="Courier New"/>
          <w:sz w:val="20"/>
        </w:rPr>
        <w:t>bw_hi</w:t>
      </w:r>
      <w:r>
        <w:t xml:space="preserve"> field is treated as a starting ceiling, not a hard limit, allowing BBR's natural probing to refine it within 1–2 RTTs of the new path.</w:t>
      </w:r>
    </w:p>
    <w:p>
      <w:pPr>
        <w:pStyle w:val="Heading2"/>
      </w:pPr>
      <w:r>
        <w:rPr>
          <w:color w:val="000000"/>
        </w:rPr>
        <w:t>B. Signal Protocol</w:t>
      </w:r>
    </w:p>
    <w:p>
      <w:pPr>
        <w:spacing w:before="0" w:after="80"/>
        <w:ind w:firstLine="360"/>
      </w:pPr>
      <w:r>
        <w:t xml:space="preserve">Two signals are delivered to the congestion controller via the picoquic </w:t>
      </w:r>
      <w:r>
        <w:rPr>
          <w:rFonts w:ascii="Courier New" w:hAnsi="Courier New"/>
          <w:sz w:val="20"/>
        </w:rPr>
        <w:t>alg_notify</w:t>
      </w:r>
      <w:r>
        <w:t xml:space="preserve"> callback:</w:t>
      </w:r>
    </w:p>
    <w:p>
      <w:pPr>
        <w:pStyle w:val="ListBullet"/>
      </w:pPr>
      <w:r>
        <w:rPr>
          <w:b/>
        </w:rPr>
        <w:t>PREDICTED</w:t>
      </w:r>
      <w:r>
        <w:t xml:space="preserve"> (0x32): the ground control system predicts a handover to a target orbit within the next ℓ seconds. The signal identifies the target orbit index.</w:t>
      </w:r>
    </w:p>
    <w:p>
      <w:pPr>
        <w:pStyle w:val="ListBullet"/>
      </w:pPr>
      <w:r>
        <w:rPr>
          <w:b/>
        </w:rPr>
        <w:t>CONFIRMED</w:t>
      </w:r>
      <w:r>
        <w:t xml:space="preserve"> (0x02): the beam switch has completed; the sender is now on the target orbit.</w:t>
      </w:r>
    </w:p>
    <w:p>
      <w:pPr>
        <w:spacing w:before="0" w:after="80"/>
        <w:ind w:firstLine="360"/>
      </w:pPr>
      <w:r>
        <w:t>CONFIRMED may arrive without a preceding PREDICTED (zero lead time is always supported).</w:t>
      </w:r>
    </w:p>
    <w:p>
      <w:pPr>
        <w:pStyle w:val="Heading2"/>
      </w:pPr>
      <w:r>
        <w:rPr>
          <w:color w:val="000000"/>
        </w:rPr>
        <w:t>C. Two-Phase Handover Protocol</w:t>
      </w:r>
    </w:p>
    <w:p>
      <w:pPr>
        <w:spacing w:before="0" w:after="80"/>
        <w:ind w:firstLine="360"/>
      </w:pPr>
      <w:r>
        <w:rPr>
          <w:b/>
        </w:rPr>
        <w:t>Phase 1 — Proactive Drain (PREDICTED signal).</w:t>
      </w:r>
    </w:p>
    <w:p>
      <w:pPr>
        <w:spacing w:before="0" w:after="80"/>
        <w:ind w:firstLine="360"/>
      </w:pPr>
      <w:r>
        <w:t xml:space="preserve">When BBR-SAT receives PREDICTED, it forces BBRv3 into </w:t>
      </w:r>
      <w:r>
        <w:rPr>
          <w:rFonts w:ascii="Courier New" w:hAnsi="Courier New"/>
          <w:sz w:val="20"/>
        </w:rPr>
        <w:t>ProbeBW_DOWN</w:t>
      </w:r>
      <w:r>
        <w:t xml:space="preserve"> with the drain gain (η &lt; 1) applied to the current orbit's BDP. The </w:t>
      </w:r>
      <w:r>
        <w:rPr>
          <w:rFonts w:ascii="Courier New" w:hAnsi="Courier New"/>
          <w:sz w:val="20"/>
        </w:rPr>
        <w:t>bw_probe_ceiling</w:t>
      </w:r>
      <w:r>
        <w:t xml:space="preserve"> is set to 2 × </w:t>
      </w:r>
      <w:r>
        <w:rPr>
          <w:rFonts w:ascii="Courier New" w:hAnsi="Courier New"/>
          <w:sz w:val="20"/>
        </w:rPr>
        <w:t>max_bw</w:t>
      </w:r>
      <w:r>
        <w:t xml:space="preserve"> to suppress spurious re-Startup triggers during the drain. Any recovery state (</w:t>
      </w:r>
      <w:r>
        <w:rPr>
          <w:rFonts w:ascii="Courier New" w:hAnsi="Courier New"/>
          <w:sz w:val="20"/>
        </w:rPr>
        <w:t>is_in_recovery</w:t>
      </w:r>
      <w:r>
        <w:t xml:space="preserve">, </w:t>
      </w:r>
      <w:r>
        <w:rPr>
          <w:rFonts w:ascii="Courier New" w:hAnsi="Courier New"/>
          <w:sz w:val="20"/>
        </w:rPr>
        <w:t>is_pto_recovery</w:t>
      </w:r>
      <w:r>
        <w:t xml:space="preserve">, </w:t>
      </w:r>
      <w:r>
        <w:rPr>
          <w:rFonts w:ascii="Courier New" w:hAnsi="Courier New"/>
          <w:sz w:val="20"/>
        </w:rPr>
        <w:t>packet_conservation</w:t>
      </w:r>
      <w:r>
        <w:t xml:space="preserve">) is cleared to allow the drain to proceed without interference from the loss-recovery path. The drain completes within one to two RTTs of the </w:t>
      </w:r>
      <w:r>
        <w:rPr>
          <w:i/>
        </w:rPr>
        <w:t>current</w:t>
      </w:r>
      <w:r>
        <w:t xml:space="preserve"> orbit, well before the handover fires for lead times up to ≈20 s.</w:t>
      </w:r>
    </w:p>
    <w:p>
      <w:pPr>
        <w:spacing w:before="0" w:after="80"/>
        <w:ind w:firstLine="360"/>
      </w:pPr>
      <w:r>
        <w:rPr>
          <w:b/>
        </w:rPr>
        <w:t>Phase 2 — BDP Context Switch (CONFIRMED signal).</w:t>
      </w:r>
    </w:p>
    <w:p>
      <w:pPr>
        <w:spacing w:before="0" w:after="80"/>
        <w:ind w:firstLine="360"/>
      </w:pPr>
      <w:r>
        <w:t>On CONFIRMED, BBR-SAT:</w:t>
      </w:r>
    </w:p>
    <w:p>
      <w:pPr>
        <w:pStyle w:val="ListNumber"/>
      </w:pPr>
      <w:r>
        <w:t xml:space="preserve">Loads the target orbit's </w:t>
      </w:r>
      <w:r>
        <w:rPr>
          <w:rFonts w:ascii="Courier New" w:hAnsi="Courier New"/>
          <w:sz w:val="20"/>
        </w:rPr>
        <w:t>min_rtt_us</w:t>
      </w:r>
      <w:r>
        <w:t xml:space="preserve"> and </w:t>
      </w:r>
      <w:r>
        <w:rPr>
          <w:rFonts w:ascii="Courier New" w:hAnsi="Courier New"/>
          <w:sz w:val="20"/>
        </w:rPr>
        <w:t>bw_hi</w:t>
      </w:r>
      <w:r>
        <w:t xml:space="preserve"> directly into the BBRv3 state, bypassing the </w:t>
      </w:r>
      <w:r>
        <w:rPr>
          <w:rFonts w:ascii="Courier New" w:hAnsi="Courier New"/>
          <w:sz w:val="20"/>
        </w:rPr>
        <w:t>MaxBwFilter</w:t>
      </w:r>
      <w:r>
        <w:t xml:space="preserve"> and </w:t>
      </w:r>
      <w:r>
        <w:rPr>
          <w:rFonts w:ascii="Courier New" w:hAnsi="Courier New"/>
          <w:sz w:val="20"/>
        </w:rPr>
        <w:t>min_rtt</w:t>
      </w:r>
      <w:r>
        <w:t xml:space="preserve"> expiry windows.</w:t>
      </w:r>
    </w:p>
    <w:p>
      <w:pPr>
        <w:pStyle w:val="ListNumber"/>
      </w:pPr>
      <w:r>
        <w:t xml:space="preserve">Resets </w:t>
      </w:r>
      <w:r>
        <w:rPr>
          <w:rFonts w:ascii="Courier New" w:hAnsi="Courier New"/>
          <w:sz w:val="20"/>
        </w:rPr>
        <w:t>inflight_hi</w:t>
      </w:r>
      <w:r>
        <w:t xml:space="preserve"> to </w:t>
      </w:r>
      <w:r>
        <w:rPr>
          <w:rFonts w:ascii="Courier New" w:hAnsi="Courier New"/>
          <w:sz w:val="20"/>
        </w:rPr>
        <w:t>bw_hi</w:t>
      </w:r>
      <w:r>
        <w:t xml:space="preserve"> × </w:t>
      </w:r>
      <w:r>
        <w:rPr>
          <w:rFonts w:ascii="Courier New" w:hAnsi="Courier New"/>
          <w:sz w:val="20"/>
        </w:rPr>
        <w:t>min_rtt_us</w:t>
      </w:r>
      <w:r>
        <w:t xml:space="preserve"> (one BDP of the new orbit).</w:t>
      </w:r>
    </w:p>
    <w:p>
      <w:pPr>
        <w:pStyle w:val="ListNumber"/>
      </w:pPr>
      <w:r>
        <w:t xml:space="preserve">Clears both slots of the two-cycle </w:t>
      </w:r>
      <w:r>
        <w:rPr>
          <w:rFonts w:ascii="Courier New" w:hAnsi="Courier New"/>
          <w:sz w:val="20"/>
        </w:rPr>
        <w:t>MaxBwFilter</w:t>
      </w:r>
      <w:r>
        <w:t xml:space="preserve">, forcing BBR to accept the seeded </w:t>
      </w:r>
      <w:r>
        <w:rPr>
          <w:rFonts w:ascii="Courier New" w:hAnsi="Courier New"/>
          <w:sz w:val="20"/>
        </w:rPr>
        <w:t>bw_hi</w:t>
      </w:r>
      <w:r>
        <w:t xml:space="preserve"> as the new bandwidth ceiling in the very next round.</w:t>
      </w:r>
    </w:p>
    <w:p>
      <w:pPr>
        <w:pStyle w:val="ListNumber"/>
      </w:pPr>
      <w:r>
        <w:t xml:space="preserve">Enters </w:t>
      </w:r>
      <w:r>
        <w:rPr>
          <w:rFonts w:ascii="Courier New" w:hAnsi="Courier New"/>
          <w:sz w:val="20"/>
        </w:rPr>
        <w:t>ProbeBW_REFILL</w:t>
      </w:r>
      <w:r>
        <w:t xml:space="preserve"> to ramp up to the new BDP.</w:t>
      </w:r>
    </w:p>
    <w:p>
      <w:pPr>
        <w:spacing w:before="0" w:after="80"/>
        <w:ind w:firstLine="360"/>
      </w:pPr>
      <w:r>
        <w:t>The net effect is that the post-handover pacing rate reflects the new orbit's capacity within one RTT of the CONFIRMED signal, rather than the 8 × RTT_new required for natural BBRv3 filter convergence.</w:t>
      </w:r>
    </w:p>
    <w:p>
      <w:pPr>
        <w:pStyle w:val="Heading1"/>
      </w:pPr>
      <w:r>
        <w:rPr>
          <w:color w:val="000000"/>
        </w:rPr>
        <w:t>IV. Methodology</w:t>
      </w:r>
    </w:p>
    <w:p>
      <w:pPr>
        <w:pStyle w:val="Heading2"/>
      </w:pPr>
      <w:r>
        <w:rPr>
          <w:color w:val="000000"/>
        </w:rPr>
        <w:t>A. Simulator</w:t>
      </w:r>
    </w:p>
    <w:p>
      <w:pPr>
        <w:spacing w:before="0" w:after="80"/>
        <w:ind w:firstLine="360"/>
      </w:pPr>
      <w:r>
        <w:t xml:space="preserve">All experiments use </w:t>
      </w:r>
      <w:r>
        <w:rPr>
          <w:rFonts w:ascii="Courier New" w:hAnsi="Courier New"/>
          <w:sz w:val="20"/>
        </w:rPr>
        <w:t>picoquic_ns</w:t>
      </w:r>
      <w:r>
        <w:t xml:space="preserve"> [16], the built-in network simulator embedded in picoquic. The simulator runs QUIC connections in discrete-event simulation time, sharing a single bottleneck link defined by a </w:t>
      </w:r>
      <w:r>
        <w:rPr>
          <w:rFonts w:ascii="Courier New" w:hAnsi="Courier New"/>
          <w:sz w:val="20"/>
        </w:rPr>
        <w:t>picoquic_ns_spec_t</w:t>
      </w:r>
      <w:r>
        <w:t xml:space="preserve"> structure. We extended this structure with a </w:t>
      </w:r>
      <w:r>
        <w:rPr>
          <w:rFonts w:ascii="Courier New" w:hAnsi="Courier New"/>
          <w:sz w:val="20"/>
        </w:rPr>
        <w:t>main_signal_time</w:t>
      </w:r>
      <w:r>
        <w:t xml:space="preserve"> and </w:t>
      </w:r>
      <w:r>
        <w:rPr>
          <w:rFonts w:ascii="Courier New" w:hAnsi="Courier New"/>
          <w:sz w:val="20"/>
        </w:rPr>
        <w:t>main_signal_value</w:t>
      </w:r>
      <w:r>
        <w:t xml:space="preserve"> field to fire PREDICTED and CONFIRMED signals at deterministic simulation times. A </w:t>
      </w:r>
      <w:r>
        <w:rPr>
          <w:rFonts w:ascii="Courier New" w:hAnsi="Courier New"/>
          <w:sz w:val="20"/>
        </w:rPr>
        <w:t>vary_link_spec</w:t>
      </w:r>
      <w:r>
        <w:t xml:space="preserve"> array changes link parameters (rate, latency, buffer) at </w:t>
      </w:r>
      <w:r>
        <w:rPr>
          <w:rFonts w:ascii="Courier New" w:hAnsi="Courier New"/>
          <w:sz w:val="20"/>
        </w:rPr>
        <w:t>handover_time_s</w:t>
      </w:r>
      <w:r>
        <w:t>, modelling the beam switch.</w:t>
      </w:r>
    </w:p>
    <w:p>
      <w:pPr>
        <w:spacing w:before="0" w:after="80"/>
        <w:ind w:firstLine="360"/>
      </w:pPr>
      <w:r>
        <w:t>Single-flow experiments use one QUIC connection (server→client bulk transfer); fairness experiments use two connections sharing the same bottleneck. All simulations are zero-loss (no packet loss injection) to isolate the congestion-control response from loss-recovery interactions.</w:t>
      </w:r>
    </w:p>
    <w:p>
      <w:pPr>
        <w:pStyle w:val="Heading2"/>
      </w:pPr>
      <w:r>
        <w:rPr>
          <w:color w:val="000000"/>
        </w:rPr>
        <w:t>B. Orbit Parameters</w:t>
      </w:r>
    </w:p>
    <w:p>
      <w:pPr>
        <w:spacing w:before="120" w:after="40"/>
      </w:pPr>
      <w:r>
        <w:rPr>
          <w:b/>
          <w:sz w:val="20"/>
        </w:rPr>
        <w:t>Table II. Simulated orbit parameters (BDP computed for upload bottleneck)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0"/>
              </w:rPr>
              <w:t>Orbit</w:t>
            </w:r>
          </w:p>
        </w:tc>
        <w:tc>
          <w:tcPr>
            <w:tcW w:type="dxa" w:w="1872"/>
          </w:tcPr>
          <w:p>
            <w:pPr>
              <w:jc w:val="center"/>
            </w:pPr>
            <w:r>
              <w:rPr>
                <w:b/>
                <w:sz w:val="20"/>
              </w:rPr>
              <w:t>DL rate</w:t>
            </w:r>
          </w:p>
        </w:tc>
        <w:tc>
          <w:tcPr>
            <w:tcW w:type="dxa" w:w="1872"/>
          </w:tcPr>
          <w:p>
            <w:pPr>
              <w:jc w:val="center"/>
            </w:pPr>
            <w:r>
              <w:rPr>
                <w:b/>
                <w:sz w:val="20"/>
              </w:rPr>
              <w:t>UL rate</w:t>
            </w:r>
          </w:p>
        </w:tc>
        <w:tc>
          <w:tcPr>
            <w:tcW w:type="dxa" w:w="1872"/>
          </w:tcPr>
          <w:p>
            <w:pPr>
              <w:jc w:val="center"/>
            </w:pPr>
            <w:r>
              <w:rPr>
                <w:b/>
                <w:sz w:val="20"/>
              </w:rPr>
              <w:t>RTT</w:t>
            </w:r>
          </w:p>
        </w:tc>
        <w:tc>
          <w:tcPr>
            <w:tcW w:type="dxa" w:w="1872"/>
          </w:tcPr>
          <w:p>
            <w:pPr>
              <w:jc w:val="center"/>
            </w:pPr>
            <w:r>
              <w:rPr>
                <w:b/>
                <w:sz w:val="20"/>
              </w:rPr>
              <w:t>BDP (UL)</w:t>
            </w:r>
          </w:p>
        </w:tc>
      </w:tr>
      <w:tr>
        <w:tc>
          <w:tcPr>
            <w:tcW w:type="dxa" w:w="1872"/>
          </w:tcPr>
          <w:p>
            <w:pPr>
              <w:jc w:val="center"/>
            </w:pPr>
            <w:r>
              <w:rPr>
                <w:sz w:val="20"/>
              </w:rPr>
              <w:t>LEO</w:t>
            </w:r>
          </w:p>
        </w:tc>
        <w:tc>
          <w:tcPr>
            <w:tcW w:type="dxa" w:w="1872"/>
          </w:tcPr>
          <w:p>
            <w:pPr>
              <w:jc w:val="center"/>
            </w:pPr>
            <w:r>
              <w:rPr>
                <w:sz w:val="20"/>
              </w:rPr>
              <w:t>50 Mbps</w:t>
            </w:r>
          </w:p>
        </w:tc>
        <w:tc>
          <w:tcPr>
            <w:tcW w:type="dxa" w:w="1872"/>
          </w:tcPr>
          <w:p>
            <w:pPr>
              <w:jc w:val="center"/>
            </w:pPr>
            <w:r>
              <w:rPr>
                <w:sz w:val="20"/>
              </w:rPr>
              <w:t>10 Mbps</w:t>
            </w:r>
          </w:p>
        </w:tc>
        <w:tc>
          <w:tcPr>
            <w:tcW w:type="dxa" w:w="1872"/>
          </w:tcPr>
          <w:p>
            <w:pPr>
              <w:jc w:val="center"/>
            </w:pPr>
            <w:r>
              <w:rPr>
                <w:sz w:val="20"/>
              </w:rPr>
              <w:t>50 ms</w:t>
            </w:r>
          </w:p>
        </w:tc>
        <w:tc>
          <w:tcPr>
            <w:tcW w:type="dxa" w:w="1872"/>
          </w:tcPr>
          <w:p>
            <w:pPr>
              <w:jc w:val="center"/>
            </w:pPr>
            <w:r>
              <w:rPr>
                <w:sz w:val="20"/>
              </w:rPr>
              <w:t>62 KB</w:t>
            </w:r>
          </w:p>
        </w:tc>
      </w:tr>
      <w:tr>
        <w:tc>
          <w:tcPr>
            <w:tcW w:type="dxa" w:w="1872"/>
          </w:tcPr>
          <w:p>
            <w:pPr>
              <w:jc w:val="center"/>
            </w:pPr>
            <w:r>
              <w:rPr>
                <w:sz w:val="20"/>
              </w:rPr>
              <w:t>MEO</w:t>
            </w:r>
          </w:p>
        </w:tc>
        <w:tc>
          <w:tcPr>
            <w:tcW w:type="dxa" w:w="1872"/>
          </w:tcPr>
          <w:p>
            <w:pPr>
              <w:jc w:val="center"/>
            </w:pPr>
            <w:r>
              <w:rPr>
                <w:sz w:val="20"/>
              </w:rPr>
              <w:t>30 Mbps</w:t>
            </w:r>
          </w:p>
        </w:tc>
        <w:tc>
          <w:tcPr>
            <w:tcW w:type="dxa" w:w="1872"/>
          </w:tcPr>
          <w:p>
            <w:pPr>
              <w:jc w:val="center"/>
            </w:pPr>
            <w:r>
              <w:rPr>
                <w:sz w:val="20"/>
              </w:rPr>
              <w:t>10 Mbps</w:t>
            </w:r>
          </w:p>
        </w:tc>
        <w:tc>
          <w:tcPr>
            <w:tcW w:type="dxa" w:w="1872"/>
          </w:tcPr>
          <w:p>
            <w:pPr>
              <w:jc w:val="center"/>
            </w:pPr>
            <w:r>
              <w:rPr>
                <w:sz w:val="20"/>
              </w:rPr>
              <w:t>150 ms</w:t>
            </w:r>
          </w:p>
        </w:tc>
        <w:tc>
          <w:tcPr>
            <w:tcW w:type="dxa" w:w="1872"/>
          </w:tcPr>
          <w:p>
            <w:pPr>
              <w:jc w:val="center"/>
            </w:pPr>
            <w:r>
              <w:rPr>
                <w:sz w:val="20"/>
              </w:rPr>
              <w:t>188 KB</w:t>
            </w:r>
          </w:p>
        </w:tc>
      </w:tr>
      <w:tr>
        <w:tc>
          <w:tcPr>
            <w:tcW w:type="dxa" w:w="1872"/>
          </w:tcPr>
          <w:p>
            <w:pPr>
              <w:jc w:val="center"/>
            </w:pPr>
            <w:r>
              <w:rPr>
                <w:sz w:val="20"/>
              </w:rPr>
              <w:t>GEO</w:t>
            </w:r>
          </w:p>
        </w:tc>
        <w:tc>
          <w:tcPr>
            <w:tcW w:type="dxa" w:w="1872"/>
          </w:tcPr>
          <w:p>
            <w:pPr>
              <w:jc w:val="center"/>
            </w:pPr>
            <w:r>
              <w:rPr>
                <w:sz w:val="20"/>
              </w:rPr>
              <w:t>10 Mbps</w:t>
            </w:r>
          </w:p>
        </w:tc>
        <w:tc>
          <w:tcPr>
            <w:tcW w:type="dxa" w:w="1872"/>
          </w:tcPr>
          <w:p>
            <w:pPr>
              <w:jc w:val="center"/>
            </w:pPr>
            <w:r>
              <w:rPr>
                <w:sz w:val="20"/>
              </w:rPr>
              <w:t>3 Mbps</w:t>
            </w:r>
          </w:p>
        </w:tc>
        <w:tc>
          <w:tcPr>
            <w:tcW w:type="dxa" w:w="1872"/>
          </w:tcPr>
          <w:p>
            <w:pPr>
              <w:jc w:val="center"/>
            </w:pPr>
            <w:r>
              <w:rPr>
                <w:sz w:val="20"/>
              </w:rPr>
              <w:t>580 ms</w:t>
            </w:r>
          </w:p>
        </w:tc>
        <w:tc>
          <w:tcPr>
            <w:tcW w:type="dxa" w:w="1872"/>
          </w:tcPr>
          <w:p>
            <w:pPr>
              <w:jc w:val="center"/>
            </w:pPr>
            <w:r>
              <w:rPr>
                <w:sz w:val="20"/>
              </w:rPr>
              <w:t>218 KB</w:t>
            </w:r>
          </w:p>
        </w:tc>
      </w:tr>
    </w:tbl>
    <w:p/>
    <w:p>
      <w:pPr>
        <w:spacing w:before="0" w:after="80"/>
        <w:ind w:firstLine="360"/>
      </w:pPr>
      <w:r>
        <w:t xml:space="preserve">The upload rate is the bottleneck for QUIC bulk transfer; the higher download rate models the asymmetric capacity common in satellite links and serves as the ACK return path. The simulator's queuing is soft-limited by a 2×RTT delay threshold; the </w:t>
      </w:r>
      <w:r>
        <w:rPr>
          <w:i/>
        </w:rPr>
        <w:t>effective</w:t>
      </w:r>
      <w:r>
        <w:t xml:space="preserve"> buffer in our experiments is uncapped, which is why Table III shows a 12 MB build-up for B1/B3 rather than the ~218 KB hard-BDP limit.</w:t>
      </w:r>
    </w:p>
    <w:p>
      <w:pPr>
        <w:pStyle w:val="Heading2"/>
      </w:pPr>
      <w:r>
        <w:rPr>
          <w:color w:val="000000"/>
        </w:rPr>
        <w:t>C. Baselines</w:t>
      </w:r>
    </w:p>
    <w:p>
      <w:pPr>
        <w:pStyle w:val="ListBullet"/>
      </w:pPr>
      <w:r>
        <w:rPr>
          <w:b/>
        </w:rPr>
        <w:t>B1</w:t>
      </w:r>
      <w:r>
        <w:t xml:space="preserve"> — Vanilla BBRv3 (no modification, no signal).</w:t>
      </w:r>
    </w:p>
    <w:p>
      <w:pPr>
        <w:pStyle w:val="ListBullet"/>
      </w:pPr>
      <w:r>
        <w:rPr>
          <w:b/>
        </w:rPr>
        <w:t>B3</w:t>
      </w:r>
      <w:r>
        <w:t xml:space="preserve"> — cwnd-freeze: congestion window is held constant from the PREDICTED signal until five RTTs after CONFIRMED. (B2, a delayed-reduction variant, produced results indistinguishable from B1 at all tested lead times and is omitted.)</w:t>
      </w:r>
    </w:p>
    <w:p>
      <w:pPr>
        <w:pStyle w:val="ListBullet"/>
      </w:pPr>
      <w:r>
        <w:rPr>
          <w:b/>
        </w:rPr>
        <w:t>B4</w:t>
      </w:r>
      <w:r>
        <w:t xml:space="preserve"> — send-pause/resume: the sender pauses all transmissions on PREDICTED and resumes on CONFIRMED.</w:t>
      </w:r>
    </w:p>
    <w:p>
      <w:pPr>
        <w:pStyle w:val="ListBullet"/>
      </w:pPr>
      <w:r>
        <w:rPr>
          <w:b/>
        </w:rPr>
        <w:t>BBR-SAT</w:t>
      </w:r>
      <w:r>
        <w:t xml:space="preserve"> — the proposed algorithm (this work).</w:t>
      </w:r>
    </w:p>
    <w:p>
      <w:pPr>
        <w:pStyle w:val="ListBullet"/>
      </w:pPr>
      <w:r>
        <w:rPr>
          <w:b/>
        </w:rPr>
        <w:t>CUBIC</w:t>
      </w:r>
      <w:r>
        <w:t xml:space="preserve"> — standard CUBIC, no modification.</w:t>
      </w:r>
    </w:p>
    <w:p>
      <w:pPr>
        <w:spacing w:before="0" w:after="80"/>
        <w:ind w:firstLine="360"/>
      </w:pPr>
      <w:r>
        <w:t xml:space="preserve">B3 and B4 are common heuristics proposed informally in the satellite operator community; CUBIC serves as a loss-driven convergence reference. In our prototype, PREDICTED and CONFIRMED signals are injected at the application layer via picoquic's </w:t>
      </w:r>
      <w:r>
        <w:rPr>
          <w:rFonts w:ascii="Courier New" w:hAnsi="Courier New"/>
          <w:sz w:val="20"/>
        </w:rPr>
        <w:t>alg_notify</w:t>
      </w:r>
      <w:r>
        <w:t xml:space="preserve"> callback; a production deployment would carry them in a QUIC DATAGRAM frame [17] or operator-defined transport parameter.</w:t>
      </w:r>
    </w:p>
    <w:p>
      <w:pPr>
        <w:pStyle w:val="Heading2"/>
      </w:pPr>
      <w:r>
        <w:rPr>
          <w:color w:val="000000"/>
        </w:rPr>
        <w:t>D. Experiment Parameters</w:t>
      </w:r>
    </w:p>
    <w:p>
      <w:pPr>
        <w:spacing w:before="0" w:after="80"/>
        <w:ind w:firstLine="360"/>
      </w:pPr>
      <w:r>
        <w:rPr>
          <w:b/>
        </w:rPr>
        <w:t>Experiment 1 (single-flow):</w:t>
      </w:r>
      <w:r>
        <w:t xml:space="preserve"> Each baseline is run through all six pairwise orbit transitions (LEO↔MEO, LEO↔GEO, MEO↔GEO) at three handover times (T_HO ∈ {30, 60, 120} s) and six lead times (ℓ ∈ {0, 2, 5, 10, 20, 30} s). Total simulation: 90 s per trial.</w:t>
      </w:r>
    </w:p>
    <w:p>
      <w:pPr>
        <w:spacing w:before="0" w:after="80"/>
        <w:ind w:firstLine="360"/>
      </w:pPr>
      <w:r>
        <w:rPr>
          <w:b/>
        </w:rPr>
        <w:t>Experiment 2 (fairness):</w:t>
      </w:r>
      <w:r>
        <w:t xml:space="preserve"> Two-flow shared-bottleneck runs under two topologies: </w:t>
      </w:r>
      <w:r>
        <w:rPr>
          <w:b/>
        </w:rPr>
        <w:t>F1</w:t>
      </w:r>
      <w:r>
        <w:t xml:space="preserve"> — both flows cross a LEO→GEO handover at T = 30 s (flow 1: BBR-SAT, flow 2: BBRv3 or CUBIC); </w:t>
      </w:r>
      <w:r>
        <w:rPr>
          <w:b/>
        </w:rPr>
        <w:t>F3</w:t>
      </w:r>
      <w:r>
        <w:t xml:space="preserve"> — both flows start on GEO, BBR-SAT re-anchors its BDP context at T = 30 s (flow 2: CUBIC). Each condition is repeated twice; post-event averages are 2-run means.</w:t>
      </w:r>
    </w:p>
    <w:p>
      <w:pPr>
        <w:pStyle w:val="Heading1"/>
      </w:pPr>
      <w:r>
        <w:rPr>
          <w:color w:val="000000"/>
        </w:rPr>
        <w:t>V. Evaluation</w:t>
      </w:r>
    </w:p>
    <w:p>
      <w:pPr>
        <w:pStyle w:val="Heading2"/>
      </w:pPr>
      <w:r>
        <w:rPr>
          <w:color w:val="000000"/>
        </w:rPr>
        <w:t>A. Single-Flow Handover Performance</w:t>
      </w:r>
    </w:p>
    <w:p>
      <w:pPr>
        <w:pStyle w:val="Heading3"/>
      </w:pPr>
      <w:r>
        <w:rPr>
          <w:color w:val="000000"/>
        </w:rPr>
        <w:t>1) Setup</w:t>
      </w:r>
    </w:p>
    <w:p>
      <w:pPr>
        <w:spacing w:before="0" w:after="80"/>
        <w:ind w:firstLine="360"/>
      </w:pPr>
      <w:r>
        <w:t xml:space="preserve">We drive each of the five baselines through all six pairwise orbit transitions at three handover times (T_HO ∈ {30, 60, 120} s) and six lead times (ℓ ∈ {0, 2, 5, 10, 20, 30} s). Each condition is a zero-loss, single-flow simulation. The primary metric is </w:t>
      </w:r>
      <w:r>
        <w:rPr>
          <w:b/>
        </w:rPr>
        <w:t>T90</w:t>
      </w:r>
      <w:r>
        <w:t xml:space="preserve">: the elapsed time from T_HO until the delivered throughput first reaches 90% of the new orbit's link capacity, measured as a one-second rolling average. A trial is declared </w:t>
      </w:r>
      <w:r>
        <w:rPr>
          <w:i/>
        </w:rPr>
        <w:t>not converged</w:t>
      </w:r>
      <w:r>
        <w:t xml:space="preserve"> (N/C) if T90 exceeds the 60-second post-handover window. We additionally record post-handover steady-state throughput, goodput (total bytes delivered in the 90-second run), and peak on-path queue depth.</w:t>
      </w:r>
    </w:p>
    <w:p>
      <w:pPr>
        <w:pStyle w:val="Heading3"/>
      </w:pPr>
      <w:r>
        <w:rPr>
          <w:color w:val="000000"/>
        </w:rPr>
        <w:t>2) LEO→GEO: the Critical Transition</w:t>
      </w:r>
    </w:p>
    <w:p>
      <w:pPr>
        <w:spacing w:before="0" w:after="80"/>
        <w:ind w:firstLine="360"/>
      </w:pPr>
      <w:r>
        <w:t>A downward BDP transition — lower link rate, higher latency, larger BDP — is the most demanding case. Table III and Figure 1 show results for the LEO→GEO transition at T_HO = 30 s with ℓ = 0.</w:t>
      </w:r>
    </w:p>
    <w:p>
      <w:pPr>
        <w:spacing w:before="0" w:after="80"/>
        <w:ind w:firstLine="360"/>
      </w:pPr>
      <w:r>
        <w:rPr>
          <w:b/>
        </w:rPr>
        <w:t>B1 (vanilla BBRv3)</w:t>
      </w:r>
      <w:r>
        <w:t xml:space="preserve"> records T90 = 12.5 s, but this is a transient rather than stable convergence: the delivered throughput briefly crosses 90% of the 3 Mbps GEO capacity for a single one-second window at t + 12.5 s before collapsing to near-zero, yielding only 2.3 MB total goodput. The on-path queue inflates to 12 MB (peak) as BBRv3 retains its LEO-calibrated 10 Mbps bandwidth estimate after handover. Because BBRv3's two-cycle </w:t>
      </w:r>
      <w:r>
        <w:rPr>
          <w:rFonts w:ascii="Courier New" w:hAnsi="Courier New"/>
          <w:sz w:val="20"/>
        </w:rPr>
        <w:t>MaxBwFilter</w:t>
      </w:r>
      <w:r>
        <w:t xml:space="preserve"> clears only after roughly 8 × RTT_GEO ≈ 5 s [3], the sender continues pacing at 10 Mbps into a 3 Mbps pipe. The pacing-rate architecture means the queue cannot be drained by cwnd manipulations alone.</w:t>
      </w:r>
    </w:p>
    <w:p>
      <w:pPr>
        <w:spacing w:before="0" w:after="80"/>
        <w:ind w:firstLine="360"/>
      </w:pPr>
      <w:r>
        <w:rPr>
          <w:b/>
        </w:rPr>
        <w:t>B3 (cwnd-freeze)</w:t>
      </w:r>
      <w:r>
        <w:t xml:space="preserve"> exhibits the same failure mode with identical numbers (T90 = 12.5 s transient, 2.3 MB goodput, 12 MB peak queue). Freezing the congestion window at the pre-handover LEO value has no effect because the send rate is governed by the pacing rate (still 10 Mbps), not the cwnd. Advance warning is useless: even at ℓ = 30 s, B3 does not converge to stable throughput above the 90% threshold.</w:t>
      </w:r>
    </w:p>
    <w:p>
      <w:pPr>
        <w:spacing w:before="0" w:after="80"/>
        <w:ind w:firstLine="360"/>
      </w:pPr>
      <w:r>
        <w:rPr>
          <w:b/>
        </w:rPr>
        <w:t>B4 (send-pause/resume)</w:t>
      </w:r>
      <w:r>
        <w:t xml:space="preserve"> converges exactly once across the full lead-time sweep, at ℓ = 5 s (T90 = 5.6 s), and fails at every other lead time. The narrow success window reflects the tight timing between the pause duration and the GEO queue-drain time: too short a pause leaves residual in-flight data that re-inflates the queue; too long a pause wastes capacity and triggers a slow-start on resume.</w:t>
      </w:r>
    </w:p>
    <w:p>
      <w:pPr>
        <w:spacing w:before="0" w:after="80"/>
        <w:ind w:firstLine="360"/>
      </w:pPr>
      <w:r>
        <w:rPr>
          <w:b/>
        </w:rPr>
        <w:t>BBR-SAT</w:t>
      </w:r>
      <w:r>
        <w:t xml:space="preserve"> converges at every tested lead time from ℓ = 0 to ℓ = 20 s, with T90 = 2.5 s throughout. On receiving the CONFIRMED signal at T_HO, the algorithm loads the seeded GEO orbit entry (</w:t>
      </w:r>
      <w:r>
        <w:rPr>
          <w:rFonts w:ascii="Courier New" w:hAnsi="Courier New"/>
          <w:sz w:val="20"/>
        </w:rPr>
        <w:t>bw_hi</w:t>
      </w:r>
      <w:r>
        <w:t xml:space="preserve"> = 3 Mbps, </w:t>
      </w:r>
      <w:r>
        <w:rPr>
          <w:rFonts w:ascii="Courier New" w:hAnsi="Courier New"/>
          <w:sz w:val="20"/>
        </w:rPr>
        <w:t>min_rtt</w:t>
      </w:r>
      <w:r>
        <w:t xml:space="preserve"> = 580 ms), enters a brief DRAIN phase to clear residual in-flight data, then transitions to REFILL and converges to a steady-state of 2.9 Mbps (97% of link capacity) with a peak queue of only 286 KB — a 44× reduction compared to B1/B3. Goodput over the 90-second run is 18.6 MB, largely independent of lead time.</w:t>
      </w:r>
    </w:p>
    <w:p>
      <w:pPr>
        <w:spacing w:before="0" w:after="80"/>
        <w:ind w:firstLine="360"/>
      </w:pPr>
      <w:r>
        <w:t xml:space="preserve">At ℓ = 30 s, T90 degrades sharply to 47.6 s. The PREDICTED signal at t = 0 s (i.e. T_HO − 30 s) initiates a proactive queue drain via </w:t>
      </w:r>
      <w:r>
        <w:rPr>
          <w:rFonts w:ascii="Courier New" w:hAnsi="Courier New"/>
          <w:sz w:val="20"/>
        </w:rPr>
        <w:t>ProbeBW_DOWN</w:t>
      </w:r>
      <w:r>
        <w:t xml:space="preserve">; however, because the actual handover does not occur for 30 s, BBR-SAT re-enters </w:t>
      </w:r>
      <w:r>
        <w:rPr>
          <w:rFonts w:ascii="Courier New" w:hAnsi="Courier New"/>
          <w:sz w:val="20"/>
        </w:rPr>
        <w:t>ProbeBW_UP</w:t>
      </w:r>
      <w:r>
        <w:t xml:space="preserve"> and rebuilds a LEO-calibrated queue before the CONFIRMED signal fires. This establishes a practical upper bound: lead times up to approximately 20 s are beneficial; beyond that, pre-draining fires too early to hold.</w:t>
      </w:r>
    </w:p>
    <w:p>
      <w:pPr>
        <w:spacing w:before="0" w:after="80"/>
        <w:ind w:firstLine="360"/>
      </w:pPr>
      <w:r>
        <w:rPr>
          <w:b/>
        </w:rPr>
        <w:t>CUBIC</w:t>
      </w:r>
      <w:r>
        <w:t xml:space="preserve"> converges in 10.5 s at all lead times, achieving a steady-state of 3.1 Mbps (~100% utilisation) and 19.2 MB goodput. The convergence is loss-driven: the queue overflow immediately after handover triggers multiplicative window reduction, and CUBIC settles within roughly 18 GEO RTTs (~10.5 s). Although CUBIC achieves slightly higher single-flow goodput than BBR-SAT (at the cost of a 307 KB peak queue versus 286 KB), its behaviour under competition is discussed in §V-B. For single-flow bulk transfer, CUBIC's loss-driven convergence is competitive; BBR-SAT's advantage lies in zero-loss operation and mixed-CCA deployments where BBRv3 flows must coexist fairly on a shared beam.</w:t>
      </w:r>
    </w:p>
    <w:p>
      <w:pPr>
        <w:spacing w:before="120" w:after="40"/>
      </w:pPr>
      <w:r>
        <w:rPr>
          <w:b/>
          <w:sz w:val="20"/>
        </w:rPr>
        <w:t>Table III. LEO→GEO, T_HO = 30 s, ℓ = 0, no loss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0"/>
              </w:rPr>
              <w:t>Baseline</w:t>
            </w:r>
          </w:p>
        </w:tc>
        <w:tc>
          <w:tcPr>
            <w:tcW w:type="dxa" w:w="1872"/>
          </w:tcPr>
          <w:p>
            <w:pPr>
              <w:jc w:val="center"/>
            </w:pPr>
            <w:r>
              <w:rPr>
                <w:b/>
                <w:sz w:val="20"/>
              </w:rPr>
              <w:t>T90</w:t>
            </w:r>
          </w:p>
        </w:tc>
        <w:tc>
          <w:tcPr>
            <w:tcW w:type="dxa" w:w="1872"/>
          </w:tcPr>
          <w:p>
            <w:pPr>
              <w:jc w:val="center"/>
            </w:pPr>
            <w:r>
              <w:rPr>
                <w:b/>
                <w:sz w:val="20"/>
              </w:rPr>
              <w:t>SS bw</w:t>
            </w:r>
          </w:p>
        </w:tc>
        <w:tc>
          <w:tcPr>
            <w:tcW w:type="dxa" w:w="1872"/>
          </w:tcPr>
          <w:p>
            <w:pPr>
              <w:jc w:val="center"/>
            </w:pPr>
            <w:r>
              <w:rPr>
                <w:b/>
                <w:sz w:val="20"/>
              </w:rPr>
              <w:t>Goodput</w:t>
            </w:r>
          </w:p>
        </w:tc>
        <w:tc>
          <w:tcPr>
            <w:tcW w:type="dxa" w:w="1872"/>
          </w:tcPr>
          <w:p>
            <w:pPr>
              <w:jc w:val="center"/>
            </w:pPr>
            <w:r>
              <w:rPr>
                <w:b/>
                <w:sz w:val="20"/>
              </w:rPr>
              <w:t>Peak Q</w:t>
            </w:r>
          </w:p>
        </w:tc>
      </w:tr>
      <w:tr>
        <w:tc>
          <w:tcPr>
            <w:tcW w:type="dxa" w:w="1872"/>
          </w:tcPr>
          <w:p>
            <w:pPr>
              <w:jc w:val="center"/>
            </w:pPr>
            <w:r>
              <w:rPr>
                <w:sz w:val="20"/>
              </w:rPr>
              <w:t>B1 BBRv3 (vanilla)</w:t>
            </w:r>
          </w:p>
        </w:tc>
        <w:tc>
          <w:tcPr>
            <w:tcW w:type="dxa" w:w="1872"/>
          </w:tcPr>
          <w:p>
            <w:pPr>
              <w:jc w:val="center"/>
            </w:pPr>
            <w:r>
              <w:rPr>
                <w:sz w:val="20"/>
              </w:rPr>
              <w:t>12.5 s†</w:t>
            </w:r>
          </w:p>
        </w:tc>
        <w:tc>
          <w:tcPr>
            <w:tcW w:type="dxa" w:w="1872"/>
          </w:tcPr>
          <w:p>
            <w:pPr>
              <w:jc w:val="center"/>
            </w:pPr>
            <w:r>
              <w:rPr>
                <w:sz w:val="20"/>
              </w:rPr>
              <w:t>0.0 Mbps</w:t>
            </w:r>
          </w:p>
        </w:tc>
        <w:tc>
          <w:tcPr>
            <w:tcW w:type="dxa" w:w="1872"/>
          </w:tcPr>
          <w:p>
            <w:pPr>
              <w:jc w:val="center"/>
            </w:pPr>
            <w:r>
              <w:rPr>
                <w:sz w:val="20"/>
              </w:rPr>
              <w:t>2.3 MB</w:t>
            </w:r>
          </w:p>
        </w:tc>
        <w:tc>
          <w:tcPr>
            <w:tcW w:type="dxa" w:w="1872"/>
          </w:tcPr>
          <w:p>
            <w:pPr>
              <w:jc w:val="center"/>
            </w:pPr>
            <w:r>
              <w:rPr>
                <w:sz w:val="20"/>
              </w:rPr>
              <w:t>12,544 KB</w:t>
            </w:r>
          </w:p>
        </w:tc>
      </w:tr>
      <w:tr>
        <w:tc>
          <w:tcPr>
            <w:tcW w:type="dxa" w:w="1872"/>
          </w:tcPr>
          <w:p>
            <w:pPr>
              <w:jc w:val="center"/>
            </w:pPr>
            <w:r>
              <w:rPr>
                <w:sz w:val="20"/>
              </w:rPr>
              <w:t>B3 cwnd-freeze</w:t>
            </w:r>
          </w:p>
        </w:tc>
        <w:tc>
          <w:tcPr>
            <w:tcW w:type="dxa" w:w="1872"/>
          </w:tcPr>
          <w:p>
            <w:pPr>
              <w:jc w:val="center"/>
            </w:pPr>
            <w:r>
              <w:rPr>
                <w:sz w:val="20"/>
              </w:rPr>
              <w:t>12.5 s†</w:t>
            </w:r>
          </w:p>
        </w:tc>
        <w:tc>
          <w:tcPr>
            <w:tcW w:type="dxa" w:w="1872"/>
          </w:tcPr>
          <w:p>
            <w:pPr>
              <w:jc w:val="center"/>
            </w:pPr>
            <w:r>
              <w:rPr>
                <w:sz w:val="20"/>
              </w:rPr>
              <w:t>0.0 Mbps</w:t>
            </w:r>
          </w:p>
        </w:tc>
        <w:tc>
          <w:tcPr>
            <w:tcW w:type="dxa" w:w="1872"/>
          </w:tcPr>
          <w:p>
            <w:pPr>
              <w:jc w:val="center"/>
            </w:pPr>
            <w:r>
              <w:rPr>
                <w:sz w:val="20"/>
              </w:rPr>
              <w:t>2.3 MB</w:t>
            </w:r>
          </w:p>
        </w:tc>
        <w:tc>
          <w:tcPr>
            <w:tcW w:type="dxa" w:w="1872"/>
          </w:tcPr>
          <w:p>
            <w:pPr>
              <w:jc w:val="center"/>
            </w:pPr>
            <w:r>
              <w:rPr>
                <w:sz w:val="20"/>
              </w:rPr>
              <w:t>12,544 KB</w:t>
            </w:r>
          </w:p>
        </w:tc>
      </w:tr>
      <w:tr>
        <w:tc>
          <w:tcPr>
            <w:tcW w:type="dxa" w:w="1872"/>
          </w:tcPr>
          <w:p>
            <w:pPr>
              <w:jc w:val="center"/>
            </w:pPr>
            <w:r>
              <w:rPr>
                <w:sz w:val="20"/>
              </w:rPr>
              <w:t>B4 pause/resume</w:t>
            </w:r>
          </w:p>
        </w:tc>
        <w:tc>
          <w:tcPr>
            <w:tcW w:type="dxa" w:w="1872"/>
          </w:tcPr>
          <w:p>
            <w:pPr>
              <w:jc w:val="center"/>
            </w:pPr>
            <w:r>
              <w:rPr>
                <w:sz w:val="20"/>
              </w:rPr>
              <w:t>N/C</w:t>
            </w:r>
          </w:p>
        </w:tc>
        <w:tc>
          <w:tcPr>
            <w:tcW w:type="dxa" w:w="1872"/>
          </w:tcPr>
          <w:p>
            <w:pPr>
              <w:jc w:val="center"/>
            </w:pPr>
            <w:r>
              <w:rPr>
                <w:sz w:val="20"/>
              </w:rPr>
              <w:t>0.0 Mbps</w:t>
            </w:r>
          </w:p>
        </w:tc>
        <w:tc>
          <w:tcPr>
            <w:tcW w:type="dxa" w:w="1872"/>
          </w:tcPr>
          <w:p>
            <w:pPr>
              <w:jc w:val="center"/>
            </w:pPr>
            <w:r>
              <w:rPr>
                <w:sz w:val="20"/>
              </w:rPr>
              <w:t>1.9 MB</w:t>
            </w:r>
          </w:p>
        </w:tc>
        <w:tc>
          <w:tcPr>
            <w:tcW w:type="dxa" w:w="1872"/>
          </w:tcPr>
          <w:p>
            <w:pPr>
              <w:jc w:val="center"/>
            </w:pPr>
            <w:r>
              <w:rPr>
                <w:sz w:val="20"/>
              </w:rPr>
              <w:t>12,329 KB</w:t>
            </w:r>
          </w:p>
        </w:tc>
      </w:tr>
      <w:tr>
        <w:tc>
          <w:tcPr>
            <w:tcW w:type="dxa" w:w="1872"/>
          </w:tcPr>
          <w:p>
            <w:pPr>
              <w:jc w:val="center"/>
            </w:pPr>
            <w:r>
              <w:rPr>
                <w:b/>
                <w:sz w:val="20"/>
              </w:rPr>
              <w:t>BBR-SAT (ours)</w:t>
            </w:r>
          </w:p>
        </w:tc>
        <w:tc>
          <w:tcPr>
            <w:tcW w:type="dxa" w:w="1872"/>
          </w:tcPr>
          <w:p>
            <w:pPr>
              <w:jc w:val="center"/>
            </w:pPr>
            <w:r>
              <w:rPr>
                <w:b/>
                <w:sz w:val="20"/>
              </w:rPr>
              <w:t>2.5 s</w:t>
            </w:r>
          </w:p>
        </w:tc>
        <w:tc>
          <w:tcPr>
            <w:tcW w:type="dxa" w:w="1872"/>
          </w:tcPr>
          <w:p>
            <w:pPr>
              <w:jc w:val="center"/>
            </w:pPr>
            <w:r>
              <w:rPr>
                <w:b/>
                <w:sz w:val="20"/>
              </w:rPr>
              <w:t>2.9 Mbps</w:t>
            </w:r>
          </w:p>
        </w:tc>
        <w:tc>
          <w:tcPr>
            <w:tcW w:type="dxa" w:w="1872"/>
          </w:tcPr>
          <w:p>
            <w:pPr>
              <w:jc w:val="center"/>
            </w:pPr>
            <w:r>
              <w:rPr>
                <w:b/>
                <w:sz w:val="20"/>
              </w:rPr>
              <w:t>18.6 MB</w:t>
            </w:r>
          </w:p>
        </w:tc>
        <w:tc>
          <w:tcPr>
            <w:tcW w:type="dxa" w:w="1872"/>
          </w:tcPr>
          <w:p>
            <w:pPr>
              <w:jc w:val="center"/>
            </w:pPr>
            <w:r>
              <w:rPr>
                <w:b/>
                <w:sz w:val="20"/>
              </w:rPr>
              <w:t>286 KB</w:t>
            </w:r>
          </w:p>
        </w:tc>
      </w:tr>
      <w:tr>
        <w:tc>
          <w:tcPr>
            <w:tcW w:type="dxa" w:w="1872"/>
          </w:tcPr>
          <w:p>
            <w:pPr>
              <w:jc w:val="center"/>
            </w:pPr>
            <w:r>
              <w:rPr>
                <w:sz w:val="20"/>
              </w:rPr>
              <w:t>CUBIC</w:t>
            </w:r>
          </w:p>
        </w:tc>
        <w:tc>
          <w:tcPr>
            <w:tcW w:type="dxa" w:w="1872"/>
          </w:tcPr>
          <w:p>
            <w:pPr>
              <w:jc w:val="center"/>
            </w:pPr>
            <w:r>
              <w:rPr>
                <w:sz w:val="20"/>
              </w:rPr>
              <w:t>10.5 s</w:t>
            </w:r>
          </w:p>
        </w:tc>
        <w:tc>
          <w:tcPr>
            <w:tcW w:type="dxa" w:w="1872"/>
          </w:tcPr>
          <w:p>
            <w:pPr>
              <w:jc w:val="center"/>
            </w:pPr>
            <w:r>
              <w:rPr>
                <w:sz w:val="20"/>
              </w:rPr>
              <w:t>3.1 Mbps</w:t>
            </w:r>
          </w:p>
        </w:tc>
        <w:tc>
          <w:tcPr>
            <w:tcW w:type="dxa" w:w="1872"/>
          </w:tcPr>
          <w:p>
            <w:pPr>
              <w:jc w:val="center"/>
            </w:pPr>
            <w:r>
              <w:rPr>
                <w:sz w:val="20"/>
              </w:rPr>
              <w:t>19.2 MB</w:t>
            </w:r>
          </w:p>
        </w:tc>
        <w:tc>
          <w:tcPr>
            <w:tcW w:type="dxa" w:w="1872"/>
          </w:tcPr>
          <w:p>
            <w:pPr>
              <w:jc w:val="center"/>
            </w:pPr>
            <w:r>
              <w:rPr>
                <w:sz w:val="20"/>
              </w:rPr>
              <w:t>307 KB</w:t>
            </w:r>
          </w:p>
        </w:tc>
      </w:tr>
    </w:tbl>
    <w:p/>
    <w:p>
      <w:pPr>
        <w:ind w:left="360"/>
      </w:pPr>
      <w:r>
        <w:rPr>
          <w:i/>
          <w:sz w:val="18"/>
        </w:rPr>
        <w:t>† Transient only: throughput crosses 2.7 Mbps (90% of 3 Mbps) for one window at t+12.5 s then collapses; goodput is 8× below BBR-SAT.</w:t>
      </w:r>
    </w:p>
    <w:p>
      <w:pPr>
        <w:ind w:left="360"/>
      </w:pPr>
      <w:r>
        <w:rPr>
          <w:i/>
          <w:sz w:val="18"/>
        </w:rPr>
        <w:t>[FIGURE 1: T90 vs. advance lead time for the LEO→GEO transition (T_HO = 30 s, no loss). BBR-SAT maintains a flat 2.5 s across ℓ ∈ [0, 20] s; open markers at the top dashed line denote non-convergent (N/C) trials.]</w:t>
      </w:r>
    </w:p>
    <w:p>
      <w:pPr>
        <w:pStyle w:val="Heading3"/>
      </w:pPr>
      <w:r>
        <w:rPr>
          <w:color w:val="000000"/>
        </w:rPr>
        <w:t>3) Lead-Time Sensitivity</w:t>
      </w:r>
    </w:p>
    <w:p>
      <w:pPr>
        <w:spacing w:before="0" w:after="80"/>
        <w:ind w:firstLine="360"/>
      </w:pPr>
      <w:r>
        <w:t xml:space="preserve">Figure 1 plots T90 as a function of lead time for the LEO→GEO transition. BBR-SAT maintains a flat T90 of 2.5 s across ℓ ∈ [0, 20] s, confirming that the PREDICTED signal is effectively used but that even zero lead time is sufficient for convergence given the seeded orbit table. The practical interpretation is that any advance notice in the range 2–20 s is equally effective; the value of the PREDICTED signal lies primarily in proactive queue drain that prevents mid-flight data from inflating the post-handover queue, and this drain completes within one to two </w:t>
      </w:r>
      <w:r>
        <w:rPr>
          <w:i/>
        </w:rPr>
        <w:t>pre-handover</w:t>
      </w:r>
      <w:r>
        <w:t xml:space="preserve"> (LEO) RTTs (≈50–100 ms).</w:t>
      </w:r>
    </w:p>
    <w:p>
      <w:pPr>
        <w:pStyle w:val="Heading3"/>
      </w:pPr>
      <w:r>
        <w:rPr>
          <w:color w:val="000000"/>
        </w:rPr>
        <w:t>4) Bandwidth-Increasing and Moderate Transitions</w:t>
      </w:r>
    </w:p>
    <w:p>
      <w:pPr>
        <w:spacing w:before="0" w:after="80"/>
        <w:ind w:firstLine="360"/>
      </w:pPr>
      <w:r>
        <w:t xml:space="preserve">For bandwidth-increasing transitions (MEO→LEO, GEO→LEO, GEO→MEO) and the moderate MEO→GEO transition, all baselines converge at ℓ = 0 with T90 ≤ 2.5 s (Table IV). Bandwidth increases are inherently self-correcting: the new link can absorb the pre-handover cwnd without queue buildup. For these transitions, BBR-SAT's CONFIRMED handler is a no-op (target RTT ≤ 250 ms for MEO/LEO), so BBR-SAT matches B1/B3 exactly. For LEO→MEO, all BBR variants record N/C because LEO and MEO share identical upload BW (10 Mbps): the T90 threshold (9 Mbps) is not reached during the 10-second </w:t>
      </w:r>
      <w:r>
        <w:rPr>
          <w:rFonts w:ascii="Courier New" w:hAnsi="Courier New"/>
          <w:sz w:val="20"/>
        </w:rPr>
        <w:t>min_rtt</w:t>
      </w:r>
      <w:r>
        <w:t xml:space="preserve"> filter window when the RTT triples. CUBIC overcomes this in 5.5 s via loss-driven window growth. This N/C is a metric artifact — the actual bottleneck capacity is unchanged at 10 Mbps throughout.</w:t>
      </w:r>
    </w:p>
    <w:p>
      <w:pPr>
        <w:spacing w:before="120" w:after="40"/>
      </w:pPr>
      <w:r>
        <w:rPr>
          <w:b/>
          <w:sz w:val="20"/>
        </w:rPr>
        <w:t>Table IV. T90 at ℓ = 0, T_HO = 30 s, no loss (all transitions)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0"/>
              </w:rPr>
              <w:t>Transition</w:t>
            </w:r>
          </w:p>
        </w:tc>
        <w:tc>
          <w:tcPr>
            <w:tcW w:type="dxa" w:w="1560"/>
          </w:tcPr>
          <w:p>
            <w:pPr>
              <w:jc w:val="center"/>
            </w:pPr>
            <w:r>
              <w:rPr>
                <w:b/>
                <w:sz w:val="20"/>
              </w:rPr>
              <w:t>B1</w:t>
            </w:r>
          </w:p>
        </w:tc>
        <w:tc>
          <w:tcPr>
            <w:tcW w:type="dxa" w:w="1560"/>
          </w:tcPr>
          <w:p>
            <w:pPr>
              <w:jc w:val="center"/>
            </w:pPr>
            <w:r>
              <w:rPr>
                <w:b/>
                <w:sz w:val="20"/>
              </w:rPr>
              <w:t>B3</w:t>
            </w:r>
          </w:p>
        </w:tc>
        <w:tc>
          <w:tcPr>
            <w:tcW w:type="dxa" w:w="1560"/>
          </w:tcPr>
          <w:p>
            <w:pPr>
              <w:jc w:val="center"/>
            </w:pPr>
            <w:r>
              <w:rPr>
                <w:b/>
                <w:sz w:val="20"/>
              </w:rPr>
              <w:t>B4</w:t>
            </w:r>
          </w:p>
        </w:tc>
        <w:tc>
          <w:tcPr>
            <w:tcW w:type="dxa" w:w="1560"/>
          </w:tcPr>
          <w:p>
            <w:pPr>
              <w:jc w:val="center"/>
            </w:pPr>
            <w:r>
              <w:rPr>
                <w:b/>
                <w:sz w:val="20"/>
              </w:rPr>
              <w:t>BBR-SAT</w:t>
            </w:r>
          </w:p>
        </w:tc>
        <w:tc>
          <w:tcPr>
            <w:tcW w:type="dxa" w:w="1560"/>
          </w:tcPr>
          <w:p>
            <w:pPr>
              <w:jc w:val="center"/>
            </w:pPr>
            <w:r>
              <w:rPr>
                <w:b/>
                <w:sz w:val="20"/>
              </w:rPr>
              <w:t>CUBIC</w:t>
            </w:r>
          </w:p>
        </w:tc>
      </w:tr>
      <w:tr>
        <w:tc>
          <w:tcPr>
            <w:tcW w:type="dxa" w:w="1560"/>
          </w:tcPr>
          <w:p>
            <w:pPr>
              <w:jc w:val="center"/>
            </w:pPr>
            <w:r>
              <w:rPr>
                <w:sz w:val="20"/>
              </w:rPr>
              <w:t>LEO→MEO</w:t>
            </w:r>
          </w:p>
        </w:tc>
        <w:tc>
          <w:tcPr>
            <w:tcW w:type="dxa" w:w="1560"/>
          </w:tcPr>
          <w:p>
            <w:pPr>
              <w:jc w:val="center"/>
            </w:pPr>
            <w:r>
              <w:rPr>
                <w:sz w:val="20"/>
              </w:rPr>
              <w:t>N/C‡</w:t>
            </w:r>
          </w:p>
        </w:tc>
        <w:tc>
          <w:tcPr>
            <w:tcW w:type="dxa" w:w="1560"/>
          </w:tcPr>
          <w:p>
            <w:pPr>
              <w:jc w:val="center"/>
            </w:pPr>
            <w:r>
              <w:rPr>
                <w:sz w:val="20"/>
              </w:rPr>
              <w:t>N/C‡</w:t>
            </w:r>
          </w:p>
        </w:tc>
        <w:tc>
          <w:tcPr>
            <w:tcW w:type="dxa" w:w="1560"/>
          </w:tcPr>
          <w:p>
            <w:pPr>
              <w:jc w:val="center"/>
            </w:pPr>
            <w:r>
              <w:rPr>
                <w:sz w:val="20"/>
              </w:rPr>
              <w:t>N/C‡</w:t>
            </w:r>
          </w:p>
        </w:tc>
        <w:tc>
          <w:tcPr>
            <w:tcW w:type="dxa" w:w="1560"/>
          </w:tcPr>
          <w:p>
            <w:pPr>
              <w:jc w:val="center"/>
            </w:pPr>
            <w:r>
              <w:rPr>
                <w:sz w:val="20"/>
              </w:rPr>
              <w:t>N/C‡</w:t>
            </w:r>
          </w:p>
        </w:tc>
        <w:tc>
          <w:tcPr>
            <w:tcW w:type="dxa" w:w="1560"/>
          </w:tcPr>
          <w:p>
            <w:pPr>
              <w:jc w:val="center"/>
            </w:pPr>
            <w:r>
              <w:rPr>
                <w:sz w:val="20"/>
              </w:rPr>
              <w:t>5.5 s</w:t>
            </w:r>
          </w:p>
        </w:tc>
      </w:tr>
      <w:tr>
        <w:tc>
          <w:tcPr>
            <w:tcW w:type="dxa" w:w="1560"/>
          </w:tcPr>
          <w:p>
            <w:pPr>
              <w:jc w:val="center"/>
            </w:pPr>
            <w:r>
              <w:rPr>
                <w:sz w:val="20"/>
              </w:rPr>
              <w:t>LEO→GEO</w:t>
            </w:r>
          </w:p>
        </w:tc>
        <w:tc>
          <w:tcPr>
            <w:tcW w:type="dxa" w:w="1560"/>
          </w:tcPr>
          <w:p>
            <w:pPr>
              <w:jc w:val="center"/>
            </w:pPr>
            <w:r>
              <w:rPr>
                <w:sz w:val="20"/>
              </w:rPr>
              <w:t>12.5 s†</w:t>
            </w:r>
          </w:p>
        </w:tc>
        <w:tc>
          <w:tcPr>
            <w:tcW w:type="dxa" w:w="1560"/>
          </w:tcPr>
          <w:p>
            <w:pPr>
              <w:jc w:val="center"/>
            </w:pPr>
            <w:r>
              <w:rPr>
                <w:sz w:val="20"/>
              </w:rPr>
              <w:t>12.5 s†</w:t>
            </w:r>
          </w:p>
        </w:tc>
        <w:tc>
          <w:tcPr>
            <w:tcW w:type="dxa" w:w="1560"/>
          </w:tcPr>
          <w:p>
            <w:pPr>
              <w:jc w:val="center"/>
            </w:pPr>
            <w:r>
              <w:rPr>
                <w:sz w:val="20"/>
              </w:rPr>
              <w:t>N/C</w:t>
            </w:r>
          </w:p>
        </w:tc>
        <w:tc>
          <w:tcPr>
            <w:tcW w:type="dxa" w:w="1560"/>
          </w:tcPr>
          <w:p>
            <w:pPr>
              <w:jc w:val="center"/>
            </w:pPr>
            <w:r>
              <w:rPr>
                <w:b/>
                <w:sz w:val="20"/>
              </w:rPr>
              <w:t>2.5 s</w:t>
            </w:r>
          </w:p>
        </w:tc>
        <w:tc>
          <w:tcPr>
            <w:tcW w:type="dxa" w:w="1560"/>
          </w:tcPr>
          <w:p>
            <w:pPr>
              <w:jc w:val="center"/>
            </w:pPr>
            <w:r>
              <w:rPr>
                <w:sz w:val="20"/>
              </w:rPr>
              <w:t>10.5 s</w:t>
            </w:r>
          </w:p>
        </w:tc>
      </w:tr>
      <w:tr>
        <w:tc>
          <w:tcPr>
            <w:tcW w:type="dxa" w:w="1560"/>
          </w:tcPr>
          <w:p>
            <w:pPr>
              <w:jc w:val="center"/>
            </w:pPr>
            <w:r>
              <w:rPr>
                <w:sz w:val="20"/>
              </w:rPr>
              <w:t>MEO→LEO</w:t>
            </w:r>
          </w:p>
        </w:tc>
        <w:tc>
          <w:tcPr>
            <w:tcW w:type="dxa" w:w="1560"/>
          </w:tcPr>
          <w:p>
            <w:pPr>
              <w:jc w:val="center"/>
            </w:pPr>
            <w:r>
              <w:rPr>
                <w:sz w:val="20"/>
              </w:rPr>
              <w:t>0.5 s</w:t>
            </w:r>
          </w:p>
        </w:tc>
        <w:tc>
          <w:tcPr>
            <w:tcW w:type="dxa" w:w="1560"/>
          </w:tcPr>
          <w:p>
            <w:pPr>
              <w:jc w:val="center"/>
            </w:pPr>
            <w:r>
              <w:rPr>
                <w:sz w:val="20"/>
              </w:rPr>
              <w:t>0.5 s</w:t>
            </w:r>
          </w:p>
        </w:tc>
        <w:tc>
          <w:tcPr>
            <w:tcW w:type="dxa" w:w="1560"/>
          </w:tcPr>
          <w:p>
            <w:pPr>
              <w:jc w:val="center"/>
            </w:pPr>
            <w:r>
              <w:rPr>
                <w:sz w:val="20"/>
              </w:rPr>
              <w:t>0.5 s</w:t>
            </w:r>
          </w:p>
        </w:tc>
        <w:tc>
          <w:tcPr>
            <w:tcW w:type="dxa" w:w="1560"/>
          </w:tcPr>
          <w:p>
            <w:pPr>
              <w:jc w:val="center"/>
            </w:pPr>
            <w:r>
              <w:rPr>
                <w:sz w:val="20"/>
              </w:rPr>
              <w:t>0.5 s</w:t>
            </w:r>
          </w:p>
        </w:tc>
        <w:tc>
          <w:tcPr>
            <w:tcW w:type="dxa" w:w="1560"/>
          </w:tcPr>
          <w:p>
            <w:pPr>
              <w:jc w:val="center"/>
            </w:pPr>
            <w:r>
              <w:rPr>
                <w:sz w:val="20"/>
              </w:rPr>
              <w:t>0.5 s</w:t>
            </w:r>
          </w:p>
        </w:tc>
      </w:tr>
      <w:tr>
        <w:tc>
          <w:tcPr>
            <w:tcW w:type="dxa" w:w="1560"/>
          </w:tcPr>
          <w:p>
            <w:pPr>
              <w:jc w:val="center"/>
            </w:pPr>
            <w:r>
              <w:rPr>
                <w:sz w:val="20"/>
              </w:rPr>
              <w:t>GEO→LEO</w:t>
            </w:r>
          </w:p>
        </w:tc>
        <w:tc>
          <w:tcPr>
            <w:tcW w:type="dxa" w:w="1560"/>
          </w:tcPr>
          <w:p>
            <w:pPr>
              <w:jc w:val="center"/>
            </w:pPr>
            <w:r>
              <w:rPr>
                <w:sz w:val="20"/>
              </w:rPr>
              <w:t>1.5 s</w:t>
            </w:r>
          </w:p>
        </w:tc>
        <w:tc>
          <w:tcPr>
            <w:tcW w:type="dxa" w:w="1560"/>
          </w:tcPr>
          <w:p>
            <w:pPr>
              <w:jc w:val="center"/>
            </w:pPr>
            <w:r>
              <w:rPr>
                <w:sz w:val="20"/>
              </w:rPr>
              <w:t>1.5 s</w:t>
            </w:r>
          </w:p>
        </w:tc>
        <w:tc>
          <w:tcPr>
            <w:tcW w:type="dxa" w:w="1560"/>
          </w:tcPr>
          <w:p>
            <w:pPr>
              <w:jc w:val="center"/>
            </w:pPr>
            <w:r>
              <w:rPr>
                <w:sz w:val="20"/>
              </w:rPr>
              <w:t>0.5 s</w:t>
            </w:r>
          </w:p>
        </w:tc>
        <w:tc>
          <w:tcPr>
            <w:tcW w:type="dxa" w:w="1560"/>
          </w:tcPr>
          <w:p>
            <w:pPr>
              <w:jc w:val="center"/>
            </w:pPr>
            <w:r>
              <w:rPr>
                <w:sz w:val="20"/>
              </w:rPr>
              <w:t>1.5 s</w:t>
            </w:r>
          </w:p>
        </w:tc>
        <w:tc>
          <w:tcPr>
            <w:tcW w:type="dxa" w:w="1560"/>
          </w:tcPr>
          <w:p>
            <w:pPr>
              <w:jc w:val="center"/>
            </w:pPr>
            <w:r>
              <w:rPr>
                <w:sz w:val="20"/>
              </w:rPr>
              <w:t>0.5 s</w:t>
            </w:r>
          </w:p>
        </w:tc>
      </w:tr>
      <w:tr>
        <w:tc>
          <w:tcPr>
            <w:tcW w:type="dxa" w:w="1560"/>
          </w:tcPr>
          <w:p>
            <w:pPr>
              <w:jc w:val="center"/>
            </w:pPr>
            <w:r>
              <w:rPr>
                <w:sz w:val="20"/>
              </w:rPr>
              <w:t>MEO→GEO</w:t>
            </w:r>
          </w:p>
        </w:tc>
        <w:tc>
          <w:tcPr>
            <w:tcW w:type="dxa" w:w="1560"/>
          </w:tcPr>
          <w:p>
            <w:pPr>
              <w:jc w:val="center"/>
            </w:pPr>
            <w:r>
              <w:rPr>
                <w:sz w:val="20"/>
              </w:rPr>
              <w:t>1.5 s</w:t>
            </w:r>
          </w:p>
        </w:tc>
        <w:tc>
          <w:tcPr>
            <w:tcW w:type="dxa" w:w="1560"/>
          </w:tcPr>
          <w:p>
            <w:pPr>
              <w:jc w:val="center"/>
            </w:pPr>
            <w:r>
              <w:rPr>
                <w:sz w:val="20"/>
              </w:rPr>
              <w:t>1.5 s</w:t>
            </w:r>
          </w:p>
        </w:tc>
        <w:tc>
          <w:tcPr>
            <w:tcW w:type="dxa" w:w="1560"/>
          </w:tcPr>
          <w:p>
            <w:pPr>
              <w:jc w:val="center"/>
            </w:pPr>
            <w:r>
              <w:rPr>
                <w:sz w:val="20"/>
              </w:rPr>
              <w:t>1.5 s</w:t>
            </w:r>
          </w:p>
        </w:tc>
        <w:tc>
          <w:tcPr>
            <w:tcW w:type="dxa" w:w="1560"/>
          </w:tcPr>
          <w:p>
            <w:pPr>
              <w:jc w:val="center"/>
            </w:pPr>
            <w:r>
              <w:rPr>
                <w:sz w:val="20"/>
              </w:rPr>
              <w:t>1.5 s</w:t>
            </w:r>
          </w:p>
        </w:tc>
        <w:tc>
          <w:tcPr>
            <w:tcW w:type="dxa" w:w="1560"/>
          </w:tcPr>
          <w:p>
            <w:pPr>
              <w:jc w:val="center"/>
            </w:pPr>
            <w:r>
              <w:rPr>
                <w:sz w:val="20"/>
              </w:rPr>
              <w:t>1.5 s</w:t>
            </w:r>
          </w:p>
        </w:tc>
      </w:tr>
      <w:tr>
        <w:tc>
          <w:tcPr>
            <w:tcW w:type="dxa" w:w="1560"/>
          </w:tcPr>
          <w:p>
            <w:pPr>
              <w:jc w:val="center"/>
            </w:pPr>
            <w:r>
              <w:rPr>
                <w:sz w:val="20"/>
              </w:rPr>
              <w:t>GEO→MEO</w:t>
            </w:r>
          </w:p>
        </w:tc>
        <w:tc>
          <w:tcPr>
            <w:tcW w:type="dxa" w:w="1560"/>
          </w:tcPr>
          <w:p>
            <w:pPr>
              <w:jc w:val="center"/>
            </w:pPr>
            <w:r>
              <w:rPr>
                <w:sz w:val="20"/>
              </w:rPr>
              <w:t>2.5 s</w:t>
            </w:r>
          </w:p>
        </w:tc>
        <w:tc>
          <w:tcPr>
            <w:tcW w:type="dxa" w:w="1560"/>
          </w:tcPr>
          <w:p>
            <w:pPr>
              <w:jc w:val="center"/>
            </w:pPr>
            <w:r>
              <w:rPr>
                <w:sz w:val="20"/>
              </w:rPr>
              <w:t>2.5 s</w:t>
            </w:r>
          </w:p>
        </w:tc>
        <w:tc>
          <w:tcPr>
            <w:tcW w:type="dxa" w:w="1560"/>
          </w:tcPr>
          <w:p>
            <w:pPr>
              <w:jc w:val="center"/>
            </w:pPr>
            <w:r>
              <w:rPr>
                <w:sz w:val="20"/>
              </w:rPr>
              <w:t>2.5 s</w:t>
            </w:r>
          </w:p>
        </w:tc>
        <w:tc>
          <w:tcPr>
            <w:tcW w:type="dxa" w:w="1560"/>
          </w:tcPr>
          <w:p>
            <w:pPr>
              <w:jc w:val="center"/>
            </w:pPr>
            <w:r>
              <w:rPr>
                <w:sz w:val="20"/>
              </w:rPr>
              <w:t>2.5 s</w:t>
            </w:r>
          </w:p>
        </w:tc>
        <w:tc>
          <w:tcPr>
            <w:tcW w:type="dxa" w:w="1560"/>
          </w:tcPr>
          <w:p>
            <w:pPr>
              <w:jc w:val="center"/>
            </w:pPr>
            <w:r>
              <w:rPr>
                <w:sz w:val="20"/>
              </w:rPr>
              <w:t>0.5 s</w:t>
            </w:r>
          </w:p>
        </w:tc>
      </w:tr>
    </w:tbl>
    <w:p/>
    <w:p>
      <w:pPr>
        <w:ind w:left="360"/>
      </w:pPr>
      <w:r>
        <w:rPr>
          <w:i/>
          <w:sz w:val="18"/>
        </w:rPr>
        <w:t>† Transient only; see Table III and §V-A.2.</w:t>
        <w:br/>
        <w:t>‡ Metric artifact: LEO/MEO share identical upload BW (10 Mbps); see §V-A.4.</w:t>
      </w:r>
    </w:p>
    <w:p>
      <w:pPr>
        <w:pStyle w:val="Heading3"/>
      </w:pPr>
      <w:r>
        <w:rPr>
          <w:color w:val="000000"/>
        </w:rPr>
        <w:t>5) Handover-Time Sensitivity</w:t>
      </w:r>
    </w:p>
    <w:p>
      <w:pPr>
        <w:spacing w:before="0" w:after="80"/>
        <w:ind w:firstLine="360"/>
      </w:pPr>
      <w:r>
        <w:t xml:space="preserve">Repeating the LEO→GEO experiment at T_HO = 60 s reveals moderate T90 inflation: BBR-SAT achieves 2.5 s at ℓ ∈ {0, 20} s but 7.5–9.5 s at intermediate lead times, likely due to the orbit table's minimum-RTT entry drifting over the longer pre-handover interval as BBR natural probing samples slightly elevated RTTs. At T_HO = 120 s all BBR-SAT conditions fail to converge, suggesting that the orbit table's 10-second </w:t>
      </w:r>
      <w:r>
        <w:rPr>
          <w:rFonts w:ascii="Courier New" w:hAnsi="Courier New"/>
          <w:sz w:val="20"/>
        </w:rPr>
        <w:t>min_rtt</w:t>
      </w:r>
      <w:r>
        <w:t xml:space="preserve"> expiry window allows the seeded GEO RTT entry to become stale before the handover fires. Extending the orbit table's RTT confidence window for long-duration pre-handover periods is identified as future work.</w:t>
      </w:r>
    </w:p>
    <w:p>
      <w:pPr>
        <w:pStyle w:val="Heading2"/>
      </w:pPr>
      <w:r>
        <w:rPr>
          <w:color w:val="000000"/>
        </w:rPr>
        <w:t>B. Fairness Under Competition</w:t>
      </w:r>
    </w:p>
    <w:p>
      <w:pPr>
        <w:spacing w:before="0" w:after="80"/>
        <w:ind w:firstLine="360"/>
      </w:pPr>
      <w:r>
        <w:t xml:space="preserve">Advance knowledge of a handover benefits the informed flow; a natural concern is whether BBR-SAT exploits that advantage at the expense of competing flows that share the bottleneck. We evaluate two scenarios using the shared-link simulator described in §IV: </w:t>
      </w:r>
      <w:r>
        <w:rPr>
          <w:b/>
        </w:rPr>
        <w:t>F1</w:t>
      </w:r>
      <w:r>
        <w:t xml:space="preserve"> — two flows both crossing a LEO→GEO handover at T = 30 s, and </w:t>
      </w:r>
      <w:r>
        <w:rPr>
          <w:b/>
        </w:rPr>
        <w:t>F3</w:t>
      </w:r>
      <w:r>
        <w:t xml:space="preserve"> — two flows that start simultaneously on a GEO beam and reach steady state before BBR-SAT re-anchors its BDP context at T = 30 s. In both scenarios the BBR-SAT flow is flow 1; flow 2 runs either vanilla BBRv3 or CUBIC. Per-second throughput and Jain's fairness index [18] are recorded for the full 90-second simulation; post-event averages (t &gt; 30 s) are reported in Table V. All results are 2-run averages; single-run variance was below 5% for F3 and below 5% across the F1-BBRv3 sweep.</w:t>
      </w:r>
    </w:p>
    <w:p>
      <w:pPr>
        <w:pStyle w:val="Heading3"/>
      </w:pPr>
      <w:r>
        <w:rPr>
          <w:color w:val="000000"/>
        </w:rPr>
        <w:t>1) F1: Shared LEO→GEO Handover</w:t>
      </w:r>
    </w:p>
    <w:p>
      <w:pPr>
        <w:spacing w:before="0" w:after="80"/>
        <w:ind w:firstLine="360"/>
      </w:pPr>
      <w:r>
        <w:t>Figure 2(a) shows the 90-second throughput trace for BBR-SAT and BBRv3 when both flows cross the handover with zero lead time. Before the handover (t &lt; 30 s) both flows share the 10 Mbps LEO upload beam equitably, each sustaining roughly 5 Mbps. At t = 30 s the link drops to 3 Mbps and the RTT rises to ≈580 ms; both flows converge to the new GEO fair share (1.5 Mbps each) within one to two seconds. Averaged over t ∈ (30, 90] s, Jain's index is J = 0.994, confirming near-perfect fairness.</w:t>
      </w:r>
    </w:p>
    <w:p>
      <w:pPr>
        <w:spacing w:before="0" w:after="80"/>
        <w:ind w:firstLine="360"/>
      </w:pPr>
      <w:r>
        <w:t xml:space="preserve">We repeated the sweep across lead times ℓ ∈ {0, 5, 10, 15, 20, 30} s; results appear in Table V (F1 vs BBRv3 rows). Jain's index exceeds 0.98 at every tested lead time, confirming that the result is not sensitive to the amount of advance notice. The conclusion is robust: </w:t>
      </w:r>
      <w:r>
        <w:rPr>
          <w:i/>
        </w:rPr>
        <w:t>BBR-SAT does not gain a systematic bandwidth advantage over competing BBR flows at any tested lead time.</w:t>
      </w:r>
    </w:p>
    <w:p>
      <w:pPr>
        <w:pStyle w:val="Heading3"/>
      </w:pPr>
      <w:r>
        <w:rPr>
          <w:color w:val="000000"/>
        </w:rPr>
        <w:t>2) F3: Steady-State GEO</w:t>
      </w:r>
    </w:p>
    <w:p>
      <w:pPr>
        <w:spacing w:before="0" w:after="80"/>
        <w:ind w:firstLine="360"/>
      </w:pPr>
      <w:r>
        <w:t xml:space="preserve">Figure 2(b) shows the F3 trace. Both flows start on the 3 Mbps GEO beam from t = 0. CUBIC reaches its characteristic sawtooth steady state by t ≈ 20 s. At t = 30 s BBR-SAT re-applies its stored GEO BDP context (a no-op on link parameters, but it resets </w:t>
      </w:r>
      <w:r>
        <w:rPr>
          <w:rFonts w:ascii="Courier New" w:hAnsi="Courier New"/>
          <w:sz w:val="20"/>
        </w:rPr>
        <w:t>bw_hi</w:t>
      </w:r>
      <w:r>
        <w:t xml:space="preserve">, </w:t>
      </w:r>
      <w:r>
        <w:rPr>
          <w:rFonts w:ascii="Courier New" w:hAnsi="Courier New"/>
          <w:sz w:val="20"/>
        </w:rPr>
        <w:t>min_rtt</w:t>
      </w:r>
      <w:r>
        <w:t xml:space="preserve">, and </w:t>
      </w:r>
      <w:r>
        <w:rPr>
          <w:rFonts w:ascii="Courier New" w:hAnsi="Courier New"/>
          <w:sz w:val="20"/>
        </w:rPr>
        <w:t>inflight_hi</w:t>
      </w:r>
      <w:r>
        <w:t xml:space="preserve"> to the seeded values), causing a brief throughput dip visible in both flows as the Jain's trace dips below 0.8. This occurs because BBR-SAT's measured </w:t>
      </w:r>
      <w:r>
        <w:rPr>
          <w:rFonts w:ascii="Courier New" w:hAnsi="Courier New"/>
          <w:sz w:val="20"/>
        </w:rPr>
        <w:t>bw_hi</w:t>
      </w:r>
      <w:r>
        <w:t xml:space="preserve"> after 30 s of GEO operation has been probed above the seeded ceiling; the context switch resets it to the conservative ephemeris value, temporarily clipping the pacing rate until ProbeBW re-probes. After t ≈ 39 s both flows reach a stable regime: BBR-SAT 1.31 Mbps, CUBIC 1.58 Mbps, J = 0.887. The 55/45 CUBIC/BBR-SAT split is consistent across both runs (run-to-run σ &lt; 0.1 Mbps).</w:t>
      </w:r>
    </w:p>
    <w:p>
      <w:pPr>
        <w:pStyle w:val="Heading3"/>
      </w:pPr>
      <w:r>
        <w:rPr>
          <w:color w:val="000000"/>
        </w:rPr>
        <w:t>3) BBR-SAT vs. CUBIC During Handover</w:t>
      </w:r>
    </w:p>
    <w:p>
      <w:pPr>
        <w:spacing w:before="0" w:after="80"/>
        <w:ind w:firstLine="360"/>
      </w:pPr>
      <w:r>
        <w:t xml:space="preserve">We also ran the F1 topology with CUBIC as the competing flow (Table V, F1 vs CUBIC rows). BBR-SAT obtains only 0.40–0.48 Mbps post-handover, with J ≈ 0.69, while CUBIC takes the remaining ≈2.4 Mbps. Notably, this imbalance is already present on LEO </w:t>
      </w:r>
      <w:r>
        <w:rPr>
          <w:i/>
        </w:rPr>
        <w:t>before</w:t>
      </w:r>
      <w:r>
        <w:t xml:space="preserve"> the handover (CUBIC ≈7 Mbps vs. BBR-SAT ≈3 Mbps on the shared 10 Mbps LEO upload beam), confirming that the unfairness is inherited directly from BBRv3's known deference to CUBIC [3] and is not introduced by the satellite extension. Lead time does not meaningfully change the split (J = 0.687–0.723 across tested values).</w:t>
      </w:r>
    </w:p>
    <w:p>
      <w:pPr>
        <w:pStyle w:val="Heading3"/>
      </w:pPr>
      <w:r>
        <w:rPr>
          <w:color w:val="000000"/>
        </w:rPr>
        <w:t>4) Summary</w:t>
      </w:r>
    </w:p>
    <w:p>
      <w:pPr>
        <w:spacing w:before="0" w:after="80"/>
        <w:ind w:firstLine="360"/>
      </w:pPr>
      <w:r>
        <w:t>BBR-SAT preserves the fairness properties of its BBRv3 base with respect to both competing CCA families: it co-exists equitably with other BBR flows (J ≥ 0.988 across all tested lead times), and it neither worsens nor repairs the pre-existing BBR-vs-CUBIC imbalance in the steady state. Addressing the BBR/CUBIC coexistence issue is outside the scope of this work but is a natural direction for future study.</w:t>
      </w:r>
    </w:p>
    <w:p>
      <w:pPr>
        <w:ind w:left="360"/>
      </w:pPr>
      <w:r>
        <w:rPr>
          <w:i/>
          <w:sz w:val="18"/>
        </w:rPr>
        <w:t>[FIGURE 2: Fairness results. (a) F1: BBR-SAT vs. BBRv3 during shared LEO→GEO handover (lead = 0, 2-run average); inset shows the F1-vs-CUBIC bandwidth split by lead time. (b) F3: BBR-SAT vs. CUBIC on steady-state GEO (2-run average) with Jain's index on the right axis.]</w:t>
      </w:r>
    </w:p>
    <w:p>
      <w:pPr>
        <w:spacing w:before="120" w:after="40"/>
      </w:pPr>
      <w:r>
        <w:rPr>
          <w:b/>
          <w:sz w:val="20"/>
        </w:rPr>
        <w:t>Table V. Fairness summary (post-event average, t &gt; 30 s, 2-run mean)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0"/>
              </w:rPr>
              <w:t>Scenario</w:t>
            </w:r>
          </w:p>
        </w:tc>
        <w:tc>
          <w:tcPr>
            <w:tcW w:type="dxa" w:w="1560"/>
          </w:tcPr>
          <w:p>
            <w:pPr>
              <w:jc w:val="center"/>
            </w:pPr>
            <w:r>
              <w:rPr>
                <w:b/>
                <w:sz w:val="20"/>
              </w:rPr>
              <w:t>Competitor</w:t>
            </w:r>
          </w:p>
        </w:tc>
        <w:tc>
          <w:tcPr>
            <w:tcW w:type="dxa" w:w="1560"/>
          </w:tcPr>
          <w:p>
            <w:pPr>
              <w:jc w:val="center"/>
            </w:pPr>
            <w:r>
              <w:rPr>
                <w:b/>
                <w:sz w:val="20"/>
              </w:rPr>
              <w:t>Lead (s)</w:t>
            </w:r>
          </w:p>
        </w:tc>
        <w:tc>
          <w:tcPr>
            <w:tcW w:type="dxa" w:w="1560"/>
          </w:tcPr>
          <w:p>
            <w:pPr>
              <w:jc w:val="center"/>
            </w:pPr>
            <w:r>
              <w:rPr>
                <w:b/>
                <w:sz w:val="20"/>
              </w:rPr>
              <w:t>BBR-SAT (Mbps)</w:t>
            </w:r>
          </w:p>
        </w:tc>
        <w:tc>
          <w:tcPr>
            <w:tcW w:type="dxa" w:w="1560"/>
          </w:tcPr>
          <w:p>
            <w:pPr>
              <w:jc w:val="center"/>
            </w:pPr>
            <w:r>
              <w:rPr>
                <w:b/>
                <w:sz w:val="20"/>
              </w:rPr>
              <w:t>Opponent (Mbps)</w:t>
            </w:r>
          </w:p>
        </w:tc>
        <w:tc>
          <w:tcPr>
            <w:tcW w:type="dxa" w:w="1560"/>
          </w:tcPr>
          <w:p>
            <w:pPr>
              <w:jc w:val="center"/>
            </w:pPr>
            <w:r>
              <w:rPr>
                <w:b/>
                <w:sz w:val="20"/>
              </w:rPr>
              <w:t>Jain J</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0</w:t>
            </w:r>
          </w:p>
        </w:tc>
        <w:tc>
          <w:tcPr>
            <w:tcW w:type="dxa" w:w="1560"/>
          </w:tcPr>
          <w:p>
            <w:pPr>
              <w:jc w:val="center"/>
            </w:pPr>
            <w:r>
              <w:rPr>
                <w:sz w:val="20"/>
              </w:rPr>
              <w:t>1.08</w:t>
            </w:r>
          </w:p>
        </w:tc>
        <w:tc>
          <w:tcPr>
            <w:tcW w:type="dxa" w:w="1560"/>
          </w:tcPr>
          <w:p>
            <w:pPr>
              <w:jc w:val="center"/>
            </w:pPr>
            <w:r>
              <w:rPr>
                <w:sz w:val="20"/>
              </w:rPr>
              <w:t>1.08</w:t>
            </w:r>
          </w:p>
        </w:tc>
        <w:tc>
          <w:tcPr>
            <w:tcW w:type="dxa" w:w="1560"/>
          </w:tcPr>
          <w:p>
            <w:pPr>
              <w:jc w:val="center"/>
            </w:pPr>
            <w:r>
              <w:rPr>
                <w:b/>
                <w:sz w:val="20"/>
              </w:rPr>
              <w:t>0.994</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5</w:t>
            </w:r>
          </w:p>
        </w:tc>
        <w:tc>
          <w:tcPr>
            <w:tcW w:type="dxa" w:w="1560"/>
          </w:tcPr>
          <w:p>
            <w:pPr>
              <w:jc w:val="center"/>
            </w:pPr>
            <w:r>
              <w:rPr>
                <w:sz w:val="20"/>
              </w:rPr>
              <w:t>1.11</w:t>
            </w:r>
          </w:p>
        </w:tc>
        <w:tc>
          <w:tcPr>
            <w:tcW w:type="dxa" w:w="1560"/>
          </w:tcPr>
          <w:p>
            <w:pPr>
              <w:jc w:val="center"/>
            </w:pPr>
            <w:r>
              <w:rPr>
                <w:sz w:val="20"/>
              </w:rPr>
              <w:t>1.35</w:t>
            </w:r>
          </w:p>
        </w:tc>
        <w:tc>
          <w:tcPr>
            <w:tcW w:type="dxa" w:w="1560"/>
          </w:tcPr>
          <w:p>
            <w:pPr>
              <w:jc w:val="center"/>
            </w:pPr>
            <w:r>
              <w:rPr>
                <w:sz w:val="20"/>
              </w:rPr>
              <w:t>0.989</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10</w:t>
            </w:r>
          </w:p>
        </w:tc>
        <w:tc>
          <w:tcPr>
            <w:tcW w:type="dxa" w:w="1560"/>
          </w:tcPr>
          <w:p>
            <w:pPr>
              <w:jc w:val="center"/>
            </w:pPr>
            <w:r>
              <w:rPr>
                <w:sz w:val="20"/>
              </w:rPr>
              <w:t>1.13</w:t>
            </w:r>
          </w:p>
        </w:tc>
        <w:tc>
          <w:tcPr>
            <w:tcW w:type="dxa" w:w="1560"/>
          </w:tcPr>
          <w:p>
            <w:pPr>
              <w:jc w:val="center"/>
            </w:pPr>
            <w:r>
              <w:rPr>
                <w:sz w:val="20"/>
              </w:rPr>
              <w:t>1.07</w:t>
            </w:r>
          </w:p>
        </w:tc>
        <w:tc>
          <w:tcPr>
            <w:tcW w:type="dxa" w:w="1560"/>
          </w:tcPr>
          <w:p>
            <w:pPr>
              <w:jc w:val="center"/>
            </w:pPr>
            <w:r>
              <w:rPr>
                <w:sz w:val="20"/>
              </w:rPr>
              <w:t>0.994</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15</w:t>
            </w:r>
          </w:p>
        </w:tc>
        <w:tc>
          <w:tcPr>
            <w:tcW w:type="dxa" w:w="1560"/>
          </w:tcPr>
          <w:p>
            <w:pPr>
              <w:jc w:val="center"/>
            </w:pPr>
            <w:r>
              <w:rPr>
                <w:sz w:val="20"/>
              </w:rPr>
              <w:t>1.12</w:t>
            </w:r>
          </w:p>
        </w:tc>
        <w:tc>
          <w:tcPr>
            <w:tcW w:type="dxa" w:w="1560"/>
          </w:tcPr>
          <w:p>
            <w:pPr>
              <w:jc w:val="center"/>
            </w:pPr>
            <w:r>
              <w:rPr>
                <w:sz w:val="20"/>
              </w:rPr>
              <w:t>1.26</w:t>
            </w:r>
          </w:p>
        </w:tc>
        <w:tc>
          <w:tcPr>
            <w:tcW w:type="dxa" w:w="1560"/>
          </w:tcPr>
          <w:p>
            <w:pPr>
              <w:jc w:val="center"/>
            </w:pPr>
            <w:r>
              <w:rPr>
                <w:sz w:val="20"/>
              </w:rPr>
              <w:t>0.996</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20</w:t>
            </w:r>
          </w:p>
        </w:tc>
        <w:tc>
          <w:tcPr>
            <w:tcW w:type="dxa" w:w="1560"/>
          </w:tcPr>
          <w:p>
            <w:pPr>
              <w:jc w:val="center"/>
            </w:pPr>
            <w:r>
              <w:rPr>
                <w:sz w:val="20"/>
              </w:rPr>
              <w:t>1.16</w:t>
            </w:r>
          </w:p>
        </w:tc>
        <w:tc>
          <w:tcPr>
            <w:tcW w:type="dxa" w:w="1560"/>
          </w:tcPr>
          <w:p>
            <w:pPr>
              <w:jc w:val="center"/>
            </w:pPr>
            <w:r>
              <w:rPr>
                <w:sz w:val="20"/>
              </w:rPr>
              <w:t>1.31</w:t>
            </w:r>
          </w:p>
        </w:tc>
        <w:tc>
          <w:tcPr>
            <w:tcW w:type="dxa" w:w="1560"/>
          </w:tcPr>
          <w:p>
            <w:pPr>
              <w:jc w:val="center"/>
            </w:pPr>
            <w:r>
              <w:rPr>
                <w:sz w:val="20"/>
              </w:rPr>
              <w:t>0.994</w:t>
            </w:r>
          </w:p>
        </w:tc>
      </w:tr>
      <w:tr>
        <w:tc>
          <w:tcPr>
            <w:tcW w:type="dxa" w:w="1560"/>
          </w:tcPr>
          <w:p>
            <w:pPr>
              <w:jc w:val="center"/>
            </w:pPr>
            <w:r>
              <w:rPr>
                <w:sz w:val="20"/>
              </w:rPr>
              <w:t>F1</w:t>
            </w:r>
          </w:p>
        </w:tc>
        <w:tc>
          <w:tcPr>
            <w:tcW w:type="dxa" w:w="1560"/>
          </w:tcPr>
          <w:p>
            <w:pPr>
              <w:jc w:val="center"/>
            </w:pPr>
            <w:r>
              <w:rPr>
                <w:sz w:val="20"/>
              </w:rPr>
              <w:t>BBRv3</w:t>
            </w:r>
          </w:p>
        </w:tc>
        <w:tc>
          <w:tcPr>
            <w:tcW w:type="dxa" w:w="1560"/>
          </w:tcPr>
          <w:p>
            <w:pPr>
              <w:jc w:val="center"/>
            </w:pPr>
            <w:r>
              <w:rPr>
                <w:sz w:val="20"/>
              </w:rPr>
              <w:t>30</w:t>
            </w:r>
          </w:p>
        </w:tc>
        <w:tc>
          <w:tcPr>
            <w:tcW w:type="dxa" w:w="1560"/>
          </w:tcPr>
          <w:p>
            <w:pPr>
              <w:jc w:val="center"/>
            </w:pPr>
            <w:r>
              <w:rPr>
                <w:sz w:val="20"/>
              </w:rPr>
              <w:t>1.11</w:t>
            </w:r>
          </w:p>
        </w:tc>
        <w:tc>
          <w:tcPr>
            <w:tcW w:type="dxa" w:w="1560"/>
          </w:tcPr>
          <w:p>
            <w:pPr>
              <w:jc w:val="center"/>
            </w:pPr>
            <w:r>
              <w:rPr>
                <w:sz w:val="20"/>
              </w:rPr>
              <w:t>1.15</w:t>
            </w:r>
          </w:p>
        </w:tc>
        <w:tc>
          <w:tcPr>
            <w:tcW w:type="dxa" w:w="1560"/>
          </w:tcPr>
          <w:p>
            <w:pPr>
              <w:jc w:val="center"/>
            </w:pPr>
            <w:r>
              <w:rPr>
                <w:sz w:val="20"/>
              </w:rPr>
              <w:t>0.995</w:t>
            </w:r>
          </w:p>
        </w:tc>
      </w:tr>
      <w:tr>
        <w:tc>
          <w:tcPr>
            <w:tcW w:type="dxa" w:w="1560"/>
          </w:tcPr>
          <w:p>
            <w:pPr>
              <w:jc w:val="center"/>
            </w:pPr>
            <w:r>
              <w:rPr>
                <w:sz w:val="20"/>
              </w:rPr>
              <w:t>F1</w:t>
            </w:r>
          </w:p>
        </w:tc>
        <w:tc>
          <w:tcPr>
            <w:tcW w:type="dxa" w:w="1560"/>
          </w:tcPr>
          <w:p>
            <w:pPr>
              <w:jc w:val="center"/>
            </w:pPr>
            <w:r>
              <w:rPr>
                <w:sz w:val="20"/>
              </w:rPr>
              <w:t>CUBIC</w:t>
            </w:r>
          </w:p>
        </w:tc>
        <w:tc>
          <w:tcPr>
            <w:tcW w:type="dxa" w:w="1560"/>
          </w:tcPr>
          <w:p>
            <w:pPr>
              <w:jc w:val="center"/>
            </w:pPr>
            <w:r>
              <w:rPr>
                <w:sz w:val="20"/>
              </w:rPr>
              <w:t>0</w:t>
            </w:r>
          </w:p>
        </w:tc>
        <w:tc>
          <w:tcPr>
            <w:tcW w:type="dxa" w:w="1560"/>
          </w:tcPr>
          <w:p>
            <w:pPr>
              <w:jc w:val="center"/>
            </w:pPr>
            <w:r>
              <w:rPr>
                <w:sz w:val="20"/>
              </w:rPr>
              <w:t>0.40</w:t>
            </w:r>
          </w:p>
        </w:tc>
        <w:tc>
          <w:tcPr>
            <w:tcW w:type="dxa" w:w="1560"/>
          </w:tcPr>
          <w:p>
            <w:pPr>
              <w:jc w:val="center"/>
            </w:pPr>
            <w:r>
              <w:rPr>
                <w:sz w:val="20"/>
              </w:rPr>
              <w:t>2.45</w:t>
            </w:r>
          </w:p>
        </w:tc>
        <w:tc>
          <w:tcPr>
            <w:tcW w:type="dxa" w:w="1560"/>
          </w:tcPr>
          <w:p>
            <w:pPr>
              <w:jc w:val="center"/>
            </w:pPr>
            <w:r>
              <w:rPr>
                <w:sz w:val="20"/>
              </w:rPr>
              <w:t>0.687</w:t>
            </w:r>
          </w:p>
        </w:tc>
      </w:tr>
      <w:tr>
        <w:tc>
          <w:tcPr>
            <w:tcW w:type="dxa" w:w="1560"/>
          </w:tcPr>
          <w:p>
            <w:pPr>
              <w:jc w:val="center"/>
            </w:pPr>
            <w:r>
              <w:rPr>
                <w:sz w:val="20"/>
              </w:rPr>
              <w:t>F1</w:t>
            </w:r>
          </w:p>
        </w:tc>
        <w:tc>
          <w:tcPr>
            <w:tcW w:type="dxa" w:w="1560"/>
          </w:tcPr>
          <w:p>
            <w:pPr>
              <w:jc w:val="center"/>
            </w:pPr>
            <w:r>
              <w:rPr>
                <w:sz w:val="20"/>
              </w:rPr>
              <w:t>CUBIC</w:t>
            </w:r>
          </w:p>
        </w:tc>
        <w:tc>
          <w:tcPr>
            <w:tcW w:type="dxa" w:w="1560"/>
          </w:tcPr>
          <w:p>
            <w:pPr>
              <w:jc w:val="center"/>
            </w:pPr>
            <w:r>
              <w:rPr>
                <w:sz w:val="20"/>
              </w:rPr>
              <w:t>5</w:t>
            </w:r>
          </w:p>
        </w:tc>
        <w:tc>
          <w:tcPr>
            <w:tcW w:type="dxa" w:w="1560"/>
          </w:tcPr>
          <w:p>
            <w:pPr>
              <w:jc w:val="center"/>
            </w:pPr>
            <w:r>
              <w:rPr>
                <w:sz w:val="20"/>
              </w:rPr>
              <w:t>0.17</w:t>
            </w:r>
          </w:p>
        </w:tc>
        <w:tc>
          <w:tcPr>
            <w:tcW w:type="dxa" w:w="1560"/>
          </w:tcPr>
          <w:p>
            <w:pPr>
              <w:jc w:val="center"/>
            </w:pPr>
            <w:r>
              <w:rPr>
                <w:sz w:val="20"/>
              </w:rPr>
              <w:t>0.87</w:t>
            </w:r>
          </w:p>
        </w:tc>
        <w:tc>
          <w:tcPr>
            <w:tcW w:type="dxa" w:w="1560"/>
          </w:tcPr>
          <w:p>
            <w:pPr>
              <w:jc w:val="center"/>
            </w:pPr>
            <w:r>
              <w:rPr>
                <w:sz w:val="20"/>
              </w:rPr>
              <w:t>0.723</w:t>
            </w:r>
          </w:p>
        </w:tc>
      </w:tr>
      <w:tr>
        <w:tc>
          <w:tcPr>
            <w:tcW w:type="dxa" w:w="1560"/>
          </w:tcPr>
          <w:p>
            <w:pPr>
              <w:jc w:val="center"/>
            </w:pPr>
            <w:r>
              <w:rPr>
                <w:sz w:val="20"/>
              </w:rPr>
              <w:t>F1</w:t>
            </w:r>
          </w:p>
        </w:tc>
        <w:tc>
          <w:tcPr>
            <w:tcW w:type="dxa" w:w="1560"/>
          </w:tcPr>
          <w:p>
            <w:pPr>
              <w:jc w:val="center"/>
            </w:pPr>
            <w:r>
              <w:rPr>
                <w:sz w:val="20"/>
              </w:rPr>
              <w:t>CUBIC</w:t>
            </w:r>
          </w:p>
        </w:tc>
        <w:tc>
          <w:tcPr>
            <w:tcW w:type="dxa" w:w="1560"/>
          </w:tcPr>
          <w:p>
            <w:pPr>
              <w:jc w:val="center"/>
            </w:pPr>
            <w:r>
              <w:rPr>
                <w:sz w:val="20"/>
              </w:rPr>
              <w:t>10</w:t>
            </w:r>
          </w:p>
        </w:tc>
        <w:tc>
          <w:tcPr>
            <w:tcW w:type="dxa" w:w="1560"/>
          </w:tcPr>
          <w:p>
            <w:pPr>
              <w:jc w:val="center"/>
            </w:pPr>
            <w:r>
              <w:rPr>
                <w:sz w:val="20"/>
              </w:rPr>
              <w:t>0.48</w:t>
            </w:r>
          </w:p>
        </w:tc>
        <w:tc>
          <w:tcPr>
            <w:tcW w:type="dxa" w:w="1560"/>
          </w:tcPr>
          <w:p>
            <w:pPr>
              <w:jc w:val="center"/>
            </w:pPr>
            <w:r>
              <w:rPr>
                <w:sz w:val="20"/>
              </w:rPr>
              <w:t>2.40</w:t>
            </w:r>
          </w:p>
        </w:tc>
        <w:tc>
          <w:tcPr>
            <w:tcW w:type="dxa" w:w="1560"/>
          </w:tcPr>
          <w:p>
            <w:pPr>
              <w:jc w:val="center"/>
            </w:pPr>
            <w:r>
              <w:rPr>
                <w:sz w:val="20"/>
              </w:rPr>
              <w:t>0.695</w:t>
            </w:r>
          </w:p>
        </w:tc>
      </w:tr>
      <w:tr>
        <w:tc>
          <w:tcPr>
            <w:tcW w:type="dxa" w:w="1560"/>
          </w:tcPr>
          <w:p>
            <w:pPr>
              <w:jc w:val="center"/>
            </w:pPr>
            <w:r>
              <w:rPr>
                <w:sz w:val="20"/>
              </w:rPr>
              <w:t>F1</w:t>
            </w:r>
          </w:p>
        </w:tc>
        <w:tc>
          <w:tcPr>
            <w:tcW w:type="dxa" w:w="1560"/>
          </w:tcPr>
          <w:p>
            <w:pPr>
              <w:jc w:val="center"/>
            </w:pPr>
            <w:r>
              <w:rPr>
                <w:sz w:val="20"/>
              </w:rPr>
              <w:t>CUBIC</w:t>
            </w:r>
          </w:p>
        </w:tc>
        <w:tc>
          <w:tcPr>
            <w:tcW w:type="dxa" w:w="1560"/>
          </w:tcPr>
          <w:p>
            <w:pPr>
              <w:jc w:val="center"/>
            </w:pPr>
            <w:r>
              <w:rPr>
                <w:sz w:val="20"/>
              </w:rPr>
              <w:t>20</w:t>
            </w:r>
          </w:p>
        </w:tc>
        <w:tc>
          <w:tcPr>
            <w:tcW w:type="dxa" w:w="1560"/>
          </w:tcPr>
          <w:p>
            <w:pPr>
              <w:jc w:val="center"/>
            </w:pPr>
            <w:r>
              <w:rPr>
                <w:sz w:val="20"/>
              </w:rPr>
              <w:t>0.43</w:t>
            </w:r>
          </w:p>
        </w:tc>
        <w:tc>
          <w:tcPr>
            <w:tcW w:type="dxa" w:w="1560"/>
          </w:tcPr>
          <w:p>
            <w:pPr>
              <w:jc w:val="center"/>
            </w:pPr>
            <w:r>
              <w:rPr>
                <w:sz w:val="20"/>
              </w:rPr>
              <w:t>2.42</w:t>
            </w:r>
          </w:p>
        </w:tc>
        <w:tc>
          <w:tcPr>
            <w:tcW w:type="dxa" w:w="1560"/>
          </w:tcPr>
          <w:p>
            <w:pPr>
              <w:jc w:val="center"/>
            </w:pPr>
            <w:r>
              <w:rPr>
                <w:sz w:val="20"/>
              </w:rPr>
              <w:t>0.696</w:t>
            </w:r>
          </w:p>
        </w:tc>
      </w:tr>
      <w:tr>
        <w:tc>
          <w:tcPr>
            <w:tcW w:type="dxa" w:w="1560"/>
          </w:tcPr>
          <w:p>
            <w:pPr>
              <w:jc w:val="center"/>
            </w:pPr>
            <w:r>
              <w:rPr>
                <w:sz w:val="20"/>
              </w:rPr>
              <w:t>F3</w:t>
            </w:r>
          </w:p>
        </w:tc>
        <w:tc>
          <w:tcPr>
            <w:tcW w:type="dxa" w:w="1560"/>
          </w:tcPr>
          <w:p>
            <w:pPr>
              <w:jc w:val="center"/>
            </w:pPr>
            <w:r>
              <w:rPr>
                <w:sz w:val="20"/>
              </w:rPr>
              <w:t>CUBIC</w:t>
            </w:r>
          </w:p>
        </w:tc>
        <w:tc>
          <w:tcPr>
            <w:tcW w:type="dxa" w:w="1560"/>
          </w:tcPr>
          <w:p>
            <w:pPr>
              <w:jc w:val="center"/>
            </w:pPr>
            <w:r>
              <w:rPr>
                <w:sz w:val="20"/>
              </w:rPr>
              <w:t>0</w:t>
            </w:r>
          </w:p>
        </w:tc>
        <w:tc>
          <w:tcPr>
            <w:tcW w:type="dxa" w:w="1560"/>
          </w:tcPr>
          <w:p>
            <w:pPr>
              <w:jc w:val="center"/>
            </w:pPr>
            <w:r>
              <w:rPr>
                <w:sz w:val="20"/>
              </w:rPr>
              <w:t>1.31</w:t>
            </w:r>
          </w:p>
        </w:tc>
        <w:tc>
          <w:tcPr>
            <w:tcW w:type="dxa" w:w="1560"/>
          </w:tcPr>
          <w:p>
            <w:pPr>
              <w:jc w:val="center"/>
            </w:pPr>
            <w:r>
              <w:rPr>
                <w:sz w:val="20"/>
              </w:rPr>
              <w:t>1.58</w:t>
            </w:r>
          </w:p>
        </w:tc>
        <w:tc>
          <w:tcPr>
            <w:tcW w:type="dxa" w:w="1560"/>
          </w:tcPr>
          <w:p>
            <w:pPr>
              <w:jc w:val="center"/>
            </w:pPr>
            <w:r>
              <w:rPr>
                <w:sz w:val="20"/>
              </w:rPr>
              <w:t>0.887</w:t>
            </w:r>
          </w:p>
        </w:tc>
      </w:tr>
    </w:tbl>
    <w:p/>
    <w:p>
      <w:pPr>
        <w:pStyle w:val="Heading1"/>
      </w:pPr>
      <w:r>
        <w:rPr>
          <w:color w:val="000000"/>
        </w:rPr>
        <w:t>VI. Discussion</w:t>
      </w:r>
    </w:p>
    <w:p>
      <w:pPr>
        <w:spacing w:before="0" w:after="80"/>
        <w:ind w:firstLine="360"/>
      </w:pPr>
      <w:r>
        <w:t xml:space="preserve">BBR-SAT achieves T90 = 2.5 s even at ℓ = 0 because the orbit table is pre-seeded from ephemeris data; the CONFIRMED signal alone suffices for the BDP context switch. The 20-second practical ceiling on useful lead time arises because the proactive drain (50–100 ms at LEO RTT) completes well before the handover fires, after which BBR's </w:t>
      </w:r>
      <w:r>
        <w:rPr>
          <w:rFonts w:ascii="Courier New" w:hAnsi="Courier New"/>
          <w:sz w:val="20"/>
        </w:rPr>
        <w:t>ProbeBW_UP</w:t>
      </w:r>
      <w:r>
        <w:t xml:space="preserve"> re-inflates the cwnd; operators can treat any signal in the 2–20 s window as equivalent.</w:t>
      </w:r>
    </w:p>
    <w:p>
      <w:pPr>
        <w:pStyle w:val="Heading2"/>
      </w:pPr>
      <w:r>
        <w:rPr>
          <w:color w:val="000000"/>
        </w:rPr>
        <w:t>A. Limitations and Future Work</w:t>
      </w:r>
    </w:p>
    <w:p>
      <w:pPr>
        <w:spacing w:before="0" w:after="80"/>
        <w:ind w:firstLine="360"/>
      </w:pPr>
      <w:r>
        <w:rPr>
          <w:b/>
        </w:rPr>
        <w:t>Orbit table staleness.</w:t>
      </w:r>
      <w:r>
        <w:t xml:space="preserve"> The 10-second </w:t>
      </w:r>
      <w:r>
        <w:rPr>
          <w:rFonts w:ascii="Courier New" w:hAnsi="Courier New"/>
          <w:sz w:val="20"/>
        </w:rPr>
        <w:t>min_rtt</w:t>
      </w:r>
      <w:r>
        <w:t xml:space="preserve"> expiry causes BBR-SAT to fail for handover times T_HO ≥ 120 s. Refreshing the orbit table entry during the PREDICTED window — a one-line change in the PREDICTED handler — would fix this at the cost of a brief </w:t>
      </w:r>
      <w:r>
        <w:rPr>
          <w:rFonts w:ascii="Courier New" w:hAnsi="Courier New"/>
          <w:sz w:val="20"/>
        </w:rPr>
        <w:t>ProbeBW_DOWN</w:t>
      </w:r>
      <w:r>
        <w:t xml:space="preserve"> that re-seeds </w:t>
      </w:r>
      <w:r>
        <w:rPr>
          <w:rFonts w:ascii="Courier New" w:hAnsi="Courier New"/>
          <w:sz w:val="20"/>
        </w:rPr>
        <w:t>min_rtt</w:t>
      </w:r>
      <w:r>
        <w:t>.</w:t>
      </w:r>
    </w:p>
    <w:p>
      <w:pPr>
        <w:spacing w:before="0" w:after="80"/>
        <w:ind w:firstLine="360"/>
      </w:pPr>
      <w:r>
        <w:rPr>
          <w:b/>
        </w:rPr>
        <w:t>Loss injection.</w:t>
      </w:r>
      <w:r>
        <w:t xml:space="preserve"> All experiments are zero-loss. Satellite links exhibit correlated loss (rain fade, co-channel interference) that may interact with BBRv3's loss-recovery path. The interaction between the DRAIN phase and </w:t>
      </w:r>
      <w:r>
        <w:rPr>
          <w:rFonts w:ascii="Courier New" w:hAnsi="Courier New"/>
          <w:sz w:val="20"/>
        </w:rPr>
        <w:t>is_in_recovery</w:t>
      </w:r>
      <w:r>
        <w:t xml:space="preserve"> state — currently cleared on PREDICTED — requires evaluation under realistic loss models.</w:t>
      </w:r>
    </w:p>
    <w:p>
      <w:pPr>
        <w:spacing w:before="0" w:after="80"/>
        <w:ind w:firstLine="360"/>
      </w:pPr>
      <w:r>
        <w:rPr>
          <w:b/>
        </w:rPr>
        <w:t>Multi-path QUIC.</w:t>
      </w:r>
      <w:r>
        <w:t xml:space="preserve"> Satellite multi-path scenarios (e.g., LEO primary + GEO backup with simultaneous active paths) involve per-path BDP state and cross-path pacing interaction not addressed here.</w:t>
      </w:r>
    </w:p>
    <w:p>
      <w:pPr>
        <w:spacing w:before="0" w:after="80"/>
        <w:ind w:firstLine="360"/>
      </w:pPr>
      <w:r>
        <w:rPr>
          <w:b/>
        </w:rPr>
        <w:t>BBR/CUBIC coexistence.</w:t>
      </w:r>
      <w:r>
        <w:t xml:space="preserve"> The 55/45 CUBIC advantage in steady-state GEO (F3, J = 0.887) and the 86/14 split during F1-CUBIC (J ≈ 0.69) are inherited from vanilla BBRv3's loss-averse behaviour on large-BDP links. Addressing this would require either ECN-based queue-occupancy signalling or a fairness-aware pacing mode in BBRv3 itself.</w:t>
      </w:r>
    </w:p>
    <w:p>
      <w:pPr>
        <w:pStyle w:val="Heading1"/>
      </w:pPr>
      <w:r>
        <w:rPr>
          <w:color w:val="000000"/>
        </w:rPr>
        <w:t>VII. Conclusion</w:t>
      </w:r>
    </w:p>
    <w:p>
      <w:pPr>
        <w:spacing w:before="0" w:after="80"/>
        <w:ind w:firstLine="360"/>
      </w:pPr>
      <w:r>
        <w:t>We presented BBR-SAT, a minimal extension of BBRv3 that equips QUIC with orbit-aware congestion control for satellite inter-orbit handovers. By integrating an ephemeris-seeded orbit parameter table and a two-phase PREDICTED/CONFIRMED signal protocol, BBR-SAT eliminates the 8 × RTT stall inherent in BBRv3's bandwidth filter on downward BDP transitions. In a zero-loss simulator spanning all six pairwise LEO/MEO/GEO transitions, BBR-SAT is the only evaluated mechanism to converge consistently on the critical LEO→GEO transition across the full range of tested lead times (0–20 s), achieving T90 = 2.5 s with a 44× reduction in peak queue occupancy relative to vanilla BBRv3 and 8× more goodput (18.6 MB vs. 2.3 MB over a 90-second run). Fairness analysis confirms that advance knowledge does not translate into a bandwidth advantage: BBR-SAT co-exists equitably with uninformed BBRv3 flows (J = 0.994) and preserves the existing BBRv3/CUBIC balance. RFC 9743/BCP 133 [15] requires fairness evaluation for any new CCA specification; this work satisfies that requirement for the satellite handover context.</w:t>
      </w:r>
    </w:p>
    <w:p>
      <w:pPr>
        <w:pStyle w:val="Heading1"/>
      </w:pPr>
      <w:r>
        <w:rPr>
          <w:color w:val="000000"/>
        </w:rPr>
        <w:t>References</w:t>
      </w:r>
    </w:p>
    <w:p>
      <w:pPr>
        <w:spacing w:after="60"/>
        <w:ind w:left="360" w:hanging="360"/>
      </w:pPr>
      <w:r>
        <w:rPr>
          <w:sz w:val="20"/>
        </w:rPr>
        <w:t>[1] M. Handley, "Delay is Not an Option: Low Latency Routing in Space," Proc. ACM HotNets, 2018, pp. 85–91.</w:t>
      </w:r>
    </w:p>
    <w:p>
      <w:pPr>
        <w:spacing w:after="60"/>
        <w:ind w:left="360" w:hanging="360"/>
      </w:pPr>
      <w:r>
        <w:rPr>
          <w:sz w:val="20"/>
        </w:rPr>
        <w:t>[2] D. Bhattacherjee, W. Iqbal, and A. Singla, "Network Transit of Satellite Constellations," Proc. ACM HotNets, 2019, pp. 22–29.</w:t>
      </w:r>
    </w:p>
    <w:p>
      <w:pPr>
        <w:spacing w:after="60"/>
        <w:ind w:left="360" w:hanging="360"/>
      </w:pPr>
      <w:r>
        <w:rPr>
          <w:sz w:val="20"/>
        </w:rPr>
        <w:t>[3] N. Cardwell et al., "BBR Congestion Control," IETF Internet-Draft draft-ietf-ccwg-bbr-05, Mar. 2026.</w:t>
      </w:r>
    </w:p>
    <w:p>
      <w:pPr>
        <w:spacing w:after="60"/>
        <w:ind w:left="360" w:hanging="360"/>
      </w:pPr>
      <w:r>
        <w:rPr>
          <w:sz w:val="20"/>
        </w:rPr>
        <w:t>[4] N. Cardwell, Y. Cheng, C. S. Gunn, S. H. Yeganeh, and V. Jacobson, "BBR: Congestion-Based Congestion Control," ACM Queue, vol. 14, no. 5, pp. 20–53, 2016.</w:t>
      </w:r>
    </w:p>
    <w:p>
      <w:pPr>
        <w:spacing w:after="60"/>
        <w:ind w:left="360" w:hanging="360"/>
      </w:pPr>
      <w:r>
        <w:rPr>
          <w:sz w:val="20"/>
        </w:rPr>
        <w:t>[5] J. Zhao and J. Pan, "StarQUIC: Satellite-Friendly QUIC Congestion Control," Proc. ACM MobiCom Workshop on LEO Networking and Communication (LEO-NET), 2024. DOI: 10.1145/3697253.3697271.</w:t>
      </w:r>
    </w:p>
    <w:p>
      <w:pPr>
        <w:spacing w:after="60"/>
        <w:ind w:left="360" w:hanging="360"/>
      </w:pPr>
      <w:r>
        <w:rPr>
          <w:sz w:val="20"/>
        </w:rPr>
        <w:t>[6] D. Zhao et al., "SatPipe: Proactive Queue Management for LEO Satellite Handovers," Proc. IEEE INFOCOM, 2025. IEEE Xplore 11044600.</w:t>
      </w:r>
    </w:p>
    <w:p>
      <w:pPr>
        <w:spacing w:after="60"/>
        <w:ind w:left="360" w:hanging="360"/>
      </w:pPr>
      <w:r>
        <w:rPr>
          <w:sz w:val="20"/>
        </w:rPr>
        <w:t>[7] Z. Lai et al., "LeoCC: Handover-Aware Congestion Control for LEO Satellites," Proc. ACM SIGCOMM, 2025, pp. 129–146. DOI: 10.1145/3718958.3750491.</w:t>
      </w:r>
    </w:p>
    <w:p>
      <w:pPr>
        <w:spacing w:after="60"/>
        <w:ind w:left="360" w:hanging="360"/>
      </w:pPr>
      <w:r>
        <w:rPr>
          <w:sz w:val="20"/>
        </w:rPr>
        <w:t>[8] Y. Yan, J. Li, J. Han, Q. Long, K. Xue, H. Chen, and N. Qiao, "A Handover-Aware Congestion Control Algorithm Assisted by DRL in LEO Satellite Networks," Proc. IEEE ICC, Montreal, 2025. IEEE Xplore 11161022.</w:t>
      </w:r>
    </w:p>
    <w:p>
      <w:pPr>
        <w:spacing w:after="60"/>
        <w:ind w:left="360" w:hanging="360"/>
      </w:pPr>
      <w:r>
        <w:rPr>
          <w:sz w:val="20"/>
        </w:rPr>
        <w:t>[9] R. Valentine et al., "OrbCC: In-Network Telemetry for Orbit-Aware Congestion Control," arXiv:2508.19067v2, Aug. 2025. [Preprint, not peer-reviewed]</w:t>
      </w:r>
    </w:p>
    <w:p>
      <w:pPr>
        <w:spacing w:after="60"/>
        <w:ind w:left="360" w:hanging="360"/>
      </w:pPr>
      <w:r>
        <w:rPr>
          <w:sz w:val="20"/>
        </w:rPr>
        <w:t>[10] Z. Lai, Z. Li, Q. Wu, H. Li, and Q. Zhang, "Analysis for the Adverse Effects of LEO Mobility on Internet Congestion Control," IETF Internet-Draft draft-lai-ccwg-lsncc-01, Feb. 2026.</w:t>
      </w:r>
    </w:p>
    <w:p>
      <w:pPr>
        <w:spacing w:after="60"/>
        <w:ind w:left="360" w:hanging="360"/>
      </w:pPr>
      <w:r>
        <w:rPr>
          <w:sz w:val="20"/>
        </w:rPr>
        <w:t>[11] N. Kuhn et al., "Convergence of Congestion Control from Retained State," IETF Internet-Draft draft-ietf-tsvwg-careful-resume-24, Oct. 2025.</w:t>
      </w:r>
    </w:p>
    <w:p>
      <w:pPr>
        <w:spacing w:after="60"/>
        <w:ind w:left="360" w:hanging="360"/>
      </w:pPr>
      <w:r>
        <w:rPr>
          <w:sz w:val="20"/>
        </w:rPr>
        <w:t>[12] M. Hofstätter et al., "Careful Resume over Satellite Paths," Proc. IEEE ASMS/SPSC, 2025. IEEE Xplore 10946055.</w:t>
      </w:r>
    </w:p>
    <w:p>
      <w:pPr>
        <w:spacing w:after="60"/>
        <w:ind w:left="360" w:hanging="360"/>
      </w:pPr>
      <w:r>
        <w:rPr>
          <w:sz w:val="20"/>
        </w:rPr>
        <w:t>[13] C. Caini and R. Firrincieli, "TCP Hybla: A TCP Enhancement for Heterogeneous Networks," Int. J. Satellite Commun. Netw., vol. 22, no. 5, pp. 547–566, 2004.</w:t>
      </w:r>
    </w:p>
    <w:p>
      <w:pPr>
        <w:spacing w:after="60"/>
        <w:ind w:left="360" w:hanging="360"/>
      </w:pPr>
      <w:r>
        <w:rPr>
          <w:sz w:val="20"/>
        </w:rPr>
        <w:t>[14] F. Michel, M. Trevisan, D. Rossi, and O. Bonaventure, "A First Look at Starlink Performance," Proc. ACM IMC, 2022, pp. 130–140.</w:t>
      </w:r>
    </w:p>
    <w:p>
      <w:pPr>
        <w:spacing w:after="60"/>
        <w:ind w:left="360" w:hanging="360"/>
      </w:pPr>
      <w:r>
        <w:rPr>
          <w:sz w:val="20"/>
        </w:rPr>
        <w:t>[15] M. Duke and G. Fairhurst, "Specifying New Congestion Control Algorithms," RFC 9743 / BCP 133, IETF, Mar. 2025. (Obsoletes RFC 5033.)</w:t>
      </w:r>
    </w:p>
    <w:p>
      <w:pPr>
        <w:spacing w:after="60"/>
        <w:ind w:left="360" w:hanging="360"/>
      </w:pPr>
      <w:r>
        <w:rPr>
          <w:sz w:val="20"/>
        </w:rPr>
        <w:t>[16] C. Huitema, "picoquic: A Small QUIC Implementation," github.com/private-octopus/picoquic, 2023.</w:t>
      </w:r>
    </w:p>
    <w:p>
      <w:pPr>
        <w:spacing w:after="60"/>
        <w:ind w:left="360" w:hanging="360"/>
      </w:pPr>
      <w:r>
        <w:rPr>
          <w:sz w:val="20"/>
        </w:rPr>
        <w:t>[17] T. Pauly, E. Kinnear, and D. Schinazi, "An Unreliable Datagram Extension to QUIC," RFC 9221, IETF, Mar. 2022.</w:t>
      </w:r>
    </w:p>
    <w:p>
      <w:pPr>
        <w:spacing w:after="60"/>
        <w:ind w:left="360" w:hanging="360"/>
      </w:pPr>
      <w:r>
        <w:rPr>
          <w:sz w:val="20"/>
        </w:rPr>
        <w:t>[18] R. Jain, D.-M. Chiu, and W. Hawe, "A Quantitative Measure of Fairness and Discrimination for Resource Allocation in Shared Computer Systems," DEC Research Report TR-301, 1984.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