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92F8" w14:textId="26550180" w:rsidR="00535B16" w:rsidRDefault="00535B16">
      <w:r w:rsidRPr="00535B16">
        <w:drawing>
          <wp:inline distT="0" distB="0" distL="0" distR="0" wp14:anchorId="26275575" wp14:editId="21B34262">
            <wp:extent cx="5943600" cy="3333750"/>
            <wp:effectExtent l="0" t="0" r="0" b="0"/>
            <wp:docPr id="1616081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816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16"/>
    <w:rsid w:val="00517D75"/>
    <w:rsid w:val="0053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6FC1"/>
  <w15:chartTrackingRefBased/>
  <w15:docId w15:val="{DB74BC92-897C-4C61-AF9D-25CF3B19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Voya Financial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/>
  <dc:description/>
  <cp:lastModifiedBy>K J,R. (Rajath Kumar)</cp:lastModifiedBy>
  <cp:revision>1</cp:revision>
  <dcterms:created xsi:type="dcterms:W3CDTF">2025-12-20T04:38:00Z</dcterms:created>
  <dcterms:modified xsi:type="dcterms:W3CDTF">2025-12-20T04:38:00Z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2025-12-20T04:38:51Z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1912f1ec-db62-4320-aae6-b07709c9f577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