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alibri" w:cs="Calibri" w:eastAsia="Calibri" w:hAnsi="Calibri"/>
          <w:b/>
          <w:bCs/>
          <w:color w:val="0E6E66"/>
          <w:sz w:val="18"/>
          <w:szCs w:val="18"/>
        </w:rPr>
        <w:t xml:space="preserve">SOLUTION REPORT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252E"/>
          <w:sz w:val="44"/>
          <w:szCs w:val="44"/>
        </w:rPr>
        <w:t xml:space="preserve">Education Agent Management System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560"/>
          <w:sz w:val="22"/>
          <w:szCs w:val="22"/>
        </w:rPr>
        <w:t xml:space="preserve">How it works, why it was built this way, and what comes next — in plain English.</w:t>
      </w:r>
    </w:p>
    <w:p>
      <w:pPr>
        <w:pBdr>
          <w:bottom w:val="single" w:color="D8DBD6" w:sz="6" w:space="1"/>
        </w:pBdr>
        <w:spacing w:after="120" w:before="40"/>
      </w:pPr>
    </w:p>
    <w:p>
      <w:pPr>
        <w:pStyle w:val="Heading1"/>
        <w:spacing w:after="90" w:before="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The one-paragraph version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An Australian university works with dozens of overseas </w:t>
      </w: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education agents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 — the businesses that recruit international students. Today that relationship usually lives in spreadsheets, email threads and people’s memories. In a tightly regulated industry, that is risky: things get missed, and money gets paid when it shouldn’t. </w:t>
      </w:r>
      <w:r>
        <w:rPr>
          <w:rFonts w:ascii="Calibri" w:cs="Calibri" w:eastAsia="Calibri" w:hAnsi="Calibri"/>
          <w:b/>
          <w:bCs/>
          <w:color w:val="0A524C"/>
          <w:sz w:val="21"/>
          <w:szCs w:val="21"/>
        </w:rPr>
        <w:t xml:space="preserve">This system puts the whole relationship in one place.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 Agents apply, get checked, get approved, are monitored, and are eventually let go — with every step recorded and every commission checked automatically against the rules.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7252E"/>
          <w:sz w:val="22"/>
          <w:szCs w:val="22"/>
        </w:rPr>
        <w:t xml:space="preserve">The problem it removes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“Who approved this agent, and when?”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— now there’s a permanent, tamper-proof history.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“Did we pay commission we shouldn’t have?”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— the rules are enforced by the computer, not by memory.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“Are agents still using last year’s fee sheet?”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— they must confirm they’ve switched to the current one.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The big picture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People use it through a web browser. Everything they do goes to one secure application, which stores every record in one trusted database.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90" w:before="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An agency’s journey — the four phases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The product follows the real-life relationship with an agent, from first contact to final goodbye. It was built in this order on purpose (explained below).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7252E"/>
          <w:sz w:val="22"/>
          <w:szCs w:val="22"/>
        </w:rPr>
        <w:t xml:space="preserve">Phase 1 — Selection &amp; due diligence  (the front door)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What it does: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an agency applies, the college asks for the right documents (business registration, certificates, references), the agency uploads them, and an officer checks and approves — or rejects with a reason. Approving instantly creates the agreement and the agency’s login.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A524C"/>
          <w:sz w:val="21"/>
          <w:szCs w:val="21"/>
        </w:rPr>
        <w:t xml:space="preserve">Why it was first: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you can’t onboard or pay anyone you haven’t vetted. This is the front door, and the very first thing built was a real, saved approval that survives a restart — proof the system is trustworthy, not just a mock-up.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7252E"/>
          <w:sz w:val="22"/>
          <w:szCs w:val="22"/>
        </w:rPr>
        <w:t xml:space="preserve">Phase 2 — Onboarding &amp; marketing materials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What it does: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college keeps one official version of each document (like the fee schedule). When a new version replaces an old one, every agent must confirm they’ve discarded the old file — creating audit evidence that no one is recruiting on out-of-date information.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A524C"/>
          <w:sz w:val="21"/>
          <w:szCs w:val="21"/>
        </w:rPr>
        <w:t xml:space="preserve">Why next: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once an agent is approved, the very next real-world need is giving them the current rules and making sure old ones are gone.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7252E"/>
          <w:sz w:val="22"/>
          <w:szCs w:val="22"/>
        </w:rPr>
        <w:t xml:space="preserve">Phase 3 — Monitoring &amp; commission checks  (the clever part)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What it does: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students are linked to agents, and every commission is automatically checked against the regulations before it can be paid. This is where the system earns its keep (next page).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A524C"/>
          <w:sz w:val="21"/>
          <w:szCs w:val="21"/>
        </w:rPr>
        <w:t xml:space="preserve">Why prioritised: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this is the feature a spreadsheet simply cannot do safely — it protects real money and keeps the university compliant.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7252E"/>
          <w:sz w:val="22"/>
          <w:szCs w:val="22"/>
        </w:rPr>
        <w:t xml:space="preserve">Phase 4 — Offboarding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What it does: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college gives notice to end an agreement, the agent confirms it, and the college completes the wind-down. The agent keeps read-only access to their final statement.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A524C"/>
          <w:sz w:val="21"/>
          <w:szCs w:val="21"/>
        </w:rPr>
        <w:t xml:space="preserve">Why last: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ending a relationship only matters once agents exist and are active — so it was built after the others.</w:t>
      </w:r>
    </w:p>
    <w:p>
      <w:r>
        <w:br w:type="page"/>
      </w:r>
    </w:p>
    <w:p>
      <w:pPr>
        <w:pStyle w:val="Heading1"/>
        <w:spacing w:after="90" w:before="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The clever bit: commissions that check themselves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Every commission passes through a short series of automatic checks. If any check trips, the payment is held back — and the screen shows exactly why. The rules live on the server and are covered by automated tests, so the answer is always consistent.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7252E"/>
          <w:sz w:val="22"/>
          <w:szCs w:val="22"/>
        </w:rPr>
        <w:t xml:space="preserve">The two rules that matter most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The transfer rule (grandfathering):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a student who was already in Australia and switched to us after a cut-off date is not payable — but one accepted on or before that date still is. The date genuinely matters, so it’s stored, not guessed.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The conflict-of-interest freeze: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if an agent also gives migration advice but hasn’t signed a conflict-of-interest form, their students are put on hold and the money is held (not lost).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Held, never lost — until compliance is met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The officer can request the conflict form and send reminders; only the agent can sign it. The moment they do, the freeze lifts by itself and the money is released.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90" w:before="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Two automated intakes that save officer time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Beyond the core phases, two flows bring work in automatically: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Public applications: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a new agency can apply through a public web form. Their details wait in a safe holding area (never the live system) until an officer reviews and approves — which then creates the agency and its login in one clean step.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Reference checks by email: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an officer sends a referee an email form; the referee’s answer comes straight back into the system as a pass or fail — no phone tag.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A live dashboard, always up to date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Officers open to a summary that counts real work as it happens: how many agencies are in the pipeline and awaiting review, how many documents are still outstanding (and which have been chased for over a week), how many were verified this month, and which certificates are about to expire. Every number is calculated from live records, so it is never stale.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Built to be safe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Separate logins for officers, agents and admins — an agent can only ever see their own agency’s data (enforced by the server, not just hidden on screen).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Passwords are scrambled one-way; the connection is encrypted.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Every action is logged with a tracking ID, so any hiccup can be traced from the click to the cause.</w:t>
      </w:r>
    </w:p>
    <w:p>
      <w:r>
        <w:br w:type="page"/>
      </w:r>
    </w:p>
    <w:p>
      <w:pPr>
        <w:pStyle w:val="Heading1"/>
        <w:spacing w:after="90" w:before="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What it’s built with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626"/>
      </w:tblGrid>
      <w:tr>
        <w:trPr>
          <w:tblHeader/>
        </w:trPr>
        <w:tc>
          <w:tcPr>
            <w:tcW w:type="dxa" w:w="1900"/>
            <w:shd w:fill="0E6E6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500"/>
            <w:shd w:fill="0E6E6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</w:t>
            </w:r>
          </w:p>
        </w:tc>
        <w:tc>
          <w:tcPr>
            <w:tcW w:type="dxa" w:w="4626"/>
            <w:shd w:fill="0E6E6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(in plain terms)</w:t>
            </w:r>
          </w:p>
        </w:tc>
      </w:tr>
      <w:tr>
        <w:trPr>
          <w:tblHeader w:val="false"/>
        </w:trPr>
        <w:tc>
          <w:tcPr>
            <w:tcW w:type="dxa" w:w="19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The engine</w:t>
            </w:r>
          </w:p>
        </w:tc>
        <w:tc>
          <w:tcPr>
            <w:tcW w:type="dxa" w:w="25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626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Fast to build with, widely understood, easy to maintain.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The filing cabinet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Rock-solid and consistent — the single source of truth for every record.</w:t>
            </w:r>
          </w:p>
        </w:tc>
      </w:tr>
      <w:tr>
        <w:trPr>
          <w:tblHeader w:val="false"/>
        </w:trPr>
        <w:tc>
          <w:tcPr>
            <w:tcW w:type="dxa" w:w="19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The screens</w:t>
            </w:r>
          </w:p>
        </w:tc>
        <w:tc>
          <w:tcPr>
            <w:tcW w:type="dxa" w:w="25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Plain HTML / CSS / JavaScript</w:t>
            </w:r>
          </w:p>
        </w:tc>
        <w:tc>
          <w:tcPr>
            <w:tcW w:type="dxa" w:w="4626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No heavy frameworks: loads fast and is simple to change.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The lock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Scrambled passwords + secure cookies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Passwords are stored one-way (never readable); sign-in is protected.</w:t>
            </w:r>
          </w:p>
        </w:tc>
      </w:tr>
      <w:tr>
        <w:trPr>
          <w:tblHeader w:val="false"/>
        </w:trPr>
        <w:tc>
          <w:tcPr>
            <w:tcW w:type="dxa" w:w="19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Document intake</w:t>
            </w:r>
          </w:p>
        </w:tc>
        <w:tc>
          <w:tcPr>
            <w:tcW w:type="dxa" w:w="25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Multer file uploads</w:t>
            </w:r>
          </w:p>
        </w:tc>
        <w:tc>
          <w:tcPr>
            <w:tcW w:type="dxa" w:w="4626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Accepts real files (PDF/image) safely, size- and type-checked.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Email automation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Dify workflow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Sends reference-check emails without us building an email system.</w:t>
            </w:r>
          </w:p>
        </w:tc>
      </w:tr>
      <w:tr>
        <w:trPr>
          <w:tblHeader w:val="false"/>
        </w:trPr>
        <w:tc>
          <w:tcPr>
            <w:tcW w:type="dxa" w:w="19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52E"/>
                <w:sz w:val="19"/>
                <w:szCs w:val="19"/>
              </w:rPr>
              <w:t xml:space="preserve">The home</w:t>
            </w:r>
          </w:p>
        </w:tc>
        <w:tc>
          <w:tcPr>
            <w:tcW w:type="dxa" w:w="2500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DigitalOcean server</w:t>
            </w:r>
          </w:p>
        </w:tc>
        <w:tc>
          <w:tcPr>
            <w:tcW w:type="dxa" w:w="4626"/>
            <w:shd w:fill="EFF3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52E"/>
                <w:sz w:val="19"/>
                <w:szCs w:val="19"/>
              </w:rPr>
              <w:t xml:space="preserve">Runs online, walled off from the other apps sharing the machine.</w:t>
            </w:r>
          </w:p>
        </w:tc>
      </w:tr>
    </w:tbl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The order it was built (and why)</w:t>
      </w:r>
    </w:p>
    <w:p>
      <w:pPr>
        <w:spacing w:after="120" w:line="276"/>
      </w:pPr>
      <w:r>
        <w:rPr>
          <w:rFonts w:ascii="Calibri" w:cs="Calibri" w:eastAsia="Calibri" w:hAnsi="Calibri"/>
          <w:color w:val="17252E"/>
          <w:sz w:val="21"/>
          <w:szCs w:val="21"/>
        </w:rPr>
        <w:t xml:space="preserve">Rather than build everything at once, the work followed the value: prove the record is trustworthy, then protect the money, then round out the experience.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1. Foundation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database, accounts and secure sign-in.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2. The front door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application pipeline and a real, saved approval (the first thing proven to survive a restart).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3. The money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commission rules engine — the guardrails that make this more than a spreadsheet.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4. Onboarding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one official version of each document, with agent confirmations.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5. Real documents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officer requests a file, the agent uploads it, both can view it, the officer verifies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6. Automated intakes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public application form and email reference checks.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7. Offboarding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ending an agreement cleanly.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8. Polish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the live dashboard, plain-English wording, and a cleaner look.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9. Online —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deployed to a server, carefully walled off from the other apps on the same machine.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What’s still to do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Finish the reference-check email loop.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Our side is built and tested; the last mile is a small configuration step inside the email tool.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A proper web address and trusted certificate.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Right now the site uses a self-signed certificate, so browsers show a one-time “not trusted” warning. A domain name would remove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7252E"/>
          <w:sz w:val="21"/>
          <w:szCs w:val="21"/>
        </w:rPr>
        <w:t xml:space="preserve">Nice-to-haves. </w:t>
      </w:r>
      <w:r>
        <w:rPr>
          <w:rFonts w:ascii="Calibri" w:cs="Calibri" w:eastAsia="Calibri" w:hAnsi="Calibri"/>
          <w:color w:val="17252E"/>
          <w:sz w:val="21"/>
          <w:szCs w:val="21"/>
        </w:rPr>
        <w:t xml:space="preserve">A summary strip on the agent’s own screen, quick filters on lists, and a refreshed demo script.</w:t>
      </w:r>
    </w:p>
    <w:p>
      <w:pPr>
        <w:pStyle w:val="Heading1"/>
        <w:spacing w:after="90" w:before="240"/>
      </w:pPr>
      <w:r>
        <w:rPr>
          <w:rFonts w:ascii="Calibri" w:cs="Calibri" w:eastAsia="Calibri" w:hAnsi="Calibri"/>
          <w:b/>
          <w:bCs/>
          <w:color w:val="0A524C"/>
          <w:sz w:val="26"/>
          <w:szCs w:val="26"/>
        </w:rPr>
        <w:t xml:space="preserve">In one line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A524C"/>
          <w:sz w:val="22"/>
          <w:szCs w:val="22"/>
        </w:rPr>
        <w:t xml:space="preserve">A regulated agent relationship — application, approval, documents, commissions and offboarding — captured in one place, with the rules enforced automatically and a permanent history behind every decision.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C6560"/>
          <w:sz w:val="18"/>
          <w:szCs w:val="18"/>
        </w:rPr>
        <w:t xml:space="preserve">Prototype status: working end-to-end and running online. Prepared as a plain-English overview for stakeholders.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6E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ebf0dbac09213c2d450d44eec0ea51433db329.png"/><Relationship Id="rId8" Type="http://schemas.openxmlformats.org/officeDocument/2006/relationships/image" Target="media/705372ed8722be2567af5e89a57eb7d4e0ebbdde.png"/><Relationship Id="rId9" Type="http://schemas.openxmlformats.org/officeDocument/2006/relationships/image" Target="media/e14f12d06c59f929bd5e3f2087cc97cdf7a6dea8.png"/><Relationship Id="rId10" Type="http://schemas.openxmlformats.org/officeDocument/2006/relationships/image" Target="media/a5ba36cf33eee11fbc45a1f4c65c56fe44b9eaaa.png"/><Relationship Id="rId11" Type="http://schemas.openxmlformats.org/officeDocument/2006/relationships/image" Target="media/b3ac7308f7e71ba24c90541486dd68b45c3ba24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2026-08-13T11:33:56.999Z</dcterms:created>
  <dcterms:modified xsi:type="dcterms:W3CDTF">2026-08-13T11:33:57.000Z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