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239" w:rsidRPr="007A4F9D" w:rsidRDefault="001E1E20" w:rsidP="007A4F9D">
      <w:pPr>
        <w:spacing w:line="480" w:lineRule="auto"/>
        <w:rPr>
          <w:b/>
          <w:sz w:val="24"/>
          <w:szCs w:val="24"/>
          <w:u w:val="single"/>
        </w:rPr>
      </w:pPr>
      <w:r>
        <w:rPr>
          <w:b/>
          <w:sz w:val="24"/>
          <w:szCs w:val="24"/>
          <w:u w:val="single"/>
        </w:rPr>
        <w:t>Weekly</w:t>
      </w:r>
      <w:r w:rsidR="007A4F9D" w:rsidRPr="007A4F9D">
        <w:rPr>
          <w:b/>
          <w:sz w:val="24"/>
          <w:szCs w:val="24"/>
          <w:u w:val="single"/>
        </w:rPr>
        <w:t xml:space="preserve"> Returns</w:t>
      </w:r>
      <w:r>
        <w:rPr>
          <w:b/>
          <w:sz w:val="24"/>
          <w:szCs w:val="24"/>
          <w:u w:val="single"/>
        </w:rPr>
        <w:t xml:space="preserve"> of Market Indexes</w:t>
      </w:r>
    </w:p>
    <w:tbl>
      <w:tblPr>
        <w:tblpPr w:leftFromText="180" w:rightFromText="180" w:vertAnchor="text" w:horzAnchor="margin" w:tblpXSpec="center" w:tblpY="4851"/>
        <w:tblW w:w="4236" w:type="dxa"/>
        <w:tblLook w:val="04A0" w:firstRow="1" w:lastRow="0" w:firstColumn="1" w:lastColumn="0" w:noHBand="0" w:noVBand="1"/>
      </w:tblPr>
      <w:tblGrid>
        <w:gridCol w:w="1126"/>
        <w:gridCol w:w="1574"/>
        <w:gridCol w:w="1536"/>
      </w:tblGrid>
      <w:tr w:rsidR="005654AA" w:rsidRPr="005654AA" w:rsidTr="005654AA">
        <w:trPr>
          <w:trHeight w:val="288"/>
        </w:trPr>
        <w:tc>
          <w:tcPr>
            <w:tcW w:w="4236" w:type="dxa"/>
            <w:gridSpan w:val="3"/>
            <w:tcBorders>
              <w:top w:val="nil"/>
              <w:left w:val="nil"/>
              <w:bottom w:val="nil"/>
              <w:right w:val="nil"/>
            </w:tcBorders>
            <w:shd w:val="clear" w:color="000000" w:fill="000000"/>
            <w:noWrap/>
            <w:vAlign w:val="bottom"/>
            <w:hideMark/>
          </w:tcPr>
          <w:p w:rsidR="005654AA" w:rsidRPr="005654AA" w:rsidRDefault="005654AA" w:rsidP="005654AA">
            <w:pPr>
              <w:spacing w:after="0" w:line="240" w:lineRule="auto"/>
              <w:jc w:val="center"/>
              <w:rPr>
                <w:rFonts w:ascii="Calibri" w:eastAsia="Times New Roman" w:hAnsi="Calibri" w:cs="Calibri"/>
                <w:b/>
                <w:bCs/>
                <w:color w:val="FFFFFF"/>
              </w:rPr>
            </w:pPr>
            <w:r w:rsidRPr="005654AA">
              <w:rPr>
                <w:rFonts w:ascii="Calibri" w:eastAsia="Times New Roman" w:hAnsi="Calibri" w:cs="Calibri"/>
                <w:b/>
                <w:bCs/>
                <w:color w:val="FFFFFF"/>
              </w:rPr>
              <w:t xml:space="preserve">SUMMARY OF WEEKLY RETURNS </w:t>
            </w:r>
          </w:p>
        </w:tc>
      </w:tr>
      <w:tr w:rsidR="005654AA" w:rsidRPr="005654AA" w:rsidTr="005654AA">
        <w:trPr>
          <w:trHeight w:val="288"/>
        </w:trPr>
        <w:tc>
          <w:tcPr>
            <w:tcW w:w="1126" w:type="dxa"/>
            <w:tcBorders>
              <w:top w:val="single" w:sz="4" w:space="0" w:color="000000"/>
              <w:left w:val="single" w:sz="4" w:space="0" w:color="000000"/>
              <w:bottom w:val="nil"/>
              <w:right w:val="nil"/>
            </w:tcBorders>
            <w:shd w:val="clear" w:color="000000" w:fill="000000"/>
            <w:noWrap/>
            <w:vAlign w:val="bottom"/>
            <w:hideMark/>
          </w:tcPr>
          <w:p w:rsidR="005654AA" w:rsidRPr="005654AA" w:rsidRDefault="005654AA" w:rsidP="005654AA">
            <w:pPr>
              <w:spacing w:after="0" w:line="240" w:lineRule="auto"/>
              <w:rPr>
                <w:rFonts w:ascii="Calibri" w:eastAsia="Times New Roman" w:hAnsi="Calibri" w:cs="Calibri"/>
                <w:b/>
                <w:bCs/>
                <w:color w:val="FFFFFF"/>
              </w:rPr>
            </w:pPr>
            <w:r w:rsidRPr="005654AA">
              <w:rPr>
                <w:rFonts w:ascii="Calibri" w:eastAsia="Times New Roman" w:hAnsi="Calibri" w:cs="Calibri"/>
                <w:b/>
                <w:bCs/>
                <w:color w:val="FFFFFF"/>
              </w:rPr>
              <w:t xml:space="preserve"> </w:t>
            </w:r>
          </w:p>
        </w:tc>
        <w:tc>
          <w:tcPr>
            <w:tcW w:w="1574" w:type="dxa"/>
            <w:tcBorders>
              <w:top w:val="single" w:sz="4" w:space="0" w:color="000000"/>
              <w:left w:val="nil"/>
              <w:bottom w:val="nil"/>
              <w:right w:val="nil"/>
            </w:tcBorders>
            <w:shd w:val="clear" w:color="000000" w:fill="000000"/>
            <w:vAlign w:val="center"/>
            <w:hideMark/>
          </w:tcPr>
          <w:p w:rsidR="005654AA" w:rsidRPr="005654AA" w:rsidRDefault="005654AA" w:rsidP="005654AA">
            <w:pPr>
              <w:spacing w:after="0" w:line="240" w:lineRule="auto"/>
              <w:jc w:val="center"/>
              <w:rPr>
                <w:rFonts w:ascii="Calibri" w:eastAsia="Times New Roman" w:hAnsi="Calibri" w:cs="Calibri"/>
                <w:b/>
                <w:bCs/>
                <w:color w:val="FFFFFF"/>
              </w:rPr>
            </w:pPr>
            <w:r w:rsidRPr="005654AA">
              <w:rPr>
                <w:rFonts w:ascii="Calibri" w:eastAsia="Times New Roman" w:hAnsi="Calibri" w:cs="Calibri"/>
                <w:b/>
                <w:bCs/>
                <w:color w:val="FFFFFF"/>
              </w:rPr>
              <w:t>Dow Jones</w:t>
            </w:r>
          </w:p>
        </w:tc>
        <w:tc>
          <w:tcPr>
            <w:tcW w:w="1536" w:type="dxa"/>
            <w:tcBorders>
              <w:top w:val="single" w:sz="4" w:space="0" w:color="000000"/>
              <w:left w:val="nil"/>
              <w:bottom w:val="nil"/>
              <w:right w:val="single" w:sz="4" w:space="0" w:color="000000"/>
            </w:tcBorders>
            <w:shd w:val="clear" w:color="000000" w:fill="000000"/>
            <w:vAlign w:val="center"/>
            <w:hideMark/>
          </w:tcPr>
          <w:p w:rsidR="005654AA" w:rsidRPr="005654AA" w:rsidRDefault="005654AA" w:rsidP="005654AA">
            <w:pPr>
              <w:spacing w:after="0" w:line="240" w:lineRule="auto"/>
              <w:jc w:val="center"/>
              <w:rPr>
                <w:rFonts w:ascii="Calibri" w:eastAsia="Times New Roman" w:hAnsi="Calibri" w:cs="Calibri"/>
                <w:b/>
                <w:bCs/>
                <w:color w:val="FFFFFF"/>
              </w:rPr>
            </w:pPr>
            <w:r w:rsidRPr="005654AA">
              <w:rPr>
                <w:rFonts w:ascii="Calibri" w:eastAsia="Times New Roman" w:hAnsi="Calibri" w:cs="Calibri"/>
                <w:b/>
                <w:bCs/>
                <w:color w:val="FFFFFF"/>
              </w:rPr>
              <w:t>S&amp;P 500</w:t>
            </w:r>
          </w:p>
        </w:tc>
      </w:tr>
      <w:tr w:rsidR="005654AA" w:rsidRPr="005654AA" w:rsidTr="005654AA">
        <w:trPr>
          <w:trHeight w:val="288"/>
        </w:trPr>
        <w:tc>
          <w:tcPr>
            <w:tcW w:w="1126" w:type="dxa"/>
            <w:tcBorders>
              <w:top w:val="single" w:sz="4" w:space="0" w:color="000000"/>
              <w:left w:val="single" w:sz="4" w:space="0" w:color="000000"/>
              <w:bottom w:val="nil"/>
              <w:right w:val="nil"/>
            </w:tcBorders>
            <w:shd w:val="clear" w:color="auto" w:fill="auto"/>
            <w:noWrap/>
            <w:vAlign w:val="bottom"/>
            <w:hideMark/>
          </w:tcPr>
          <w:p w:rsidR="005654AA" w:rsidRPr="005654AA" w:rsidRDefault="005654AA" w:rsidP="005654AA">
            <w:pPr>
              <w:spacing w:after="0" w:line="240" w:lineRule="auto"/>
              <w:rPr>
                <w:rFonts w:ascii="Calibri" w:eastAsia="Times New Roman" w:hAnsi="Calibri" w:cs="Calibri"/>
                <w:b/>
                <w:bCs/>
                <w:color w:val="000000"/>
              </w:rPr>
            </w:pPr>
            <w:r w:rsidRPr="005654AA">
              <w:rPr>
                <w:rFonts w:ascii="Calibri" w:eastAsia="Times New Roman" w:hAnsi="Calibri" w:cs="Calibri"/>
                <w:b/>
                <w:bCs/>
                <w:color w:val="000000"/>
              </w:rPr>
              <w:t xml:space="preserve">Min.   </w:t>
            </w:r>
          </w:p>
        </w:tc>
        <w:tc>
          <w:tcPr>
            <w:tcW w:w="1574" w:type="dxa"/>
            <w:tcBorders>
              <w:top w:val="single" w:sz="4" w:space="0" w:color="000000"/>
              <w:left w:val="nil"/>
              <w:bottom w:val="nil"/>
              <w:right w:val="nil"/>
            </w:tcBorders>
            <w:shd w:val="clear" w:color="auto" w:fill="auto"/>
            <w:noWrap/>
            <w:vAlign w:val="bottom"/>
            <w:hideMark/>
          </w:tcPr>
          <w:p w:rsidR="005654AA" w:rsidRPr="005654AA" w:rsidRDefault="005654AA" w:rsidP="005654AA">
            <w:pPr>
              <w:spacing w:after="0" w:line="240" w:lineRule="auto"/>
              <w:jc w:val="right"/>
              <w:rPr>
                <w:rFonts w:ascii="Calibri" w:eastAsia="Times New Roman" w:hAnsi="Calibri" w:cs="Calibri"/>
                <w:color w:val="000000"/>
              </w:rPr>
            </w:pPr>
            <w:r w:rsidRPr="005654AA">
              <w:rPr>
                <w:rFonts w:ascii="Calibri" w:eastAsia="Times New Roman" w:hAnsi="Calibri" w:cs="Calibri"/>
                <w:color w:val="000000"/>
              </w:rPr>
              <w:t>-8.594%</w:t>
            </w:r>
          </w:p>
        </w:tc>
        <w:tc>
          <w:tcPr>
            <w:tcW w:w="1536" w:type="dxa"/>
            <w:tcBorders>
              <w:top w:val="single" w:sz="4" w:space="0" w:color="000000"/>
              <w:left w:val="nil"/>
              <w:bottom w:val="nil"/>
              <w:right w:val="single" w:sz="4" w:space="0" w:color="000000"/>
            </w:tcBorders>
            <w:shd w:val="clear" w:color="auto" w:fill="auto"/>
            <w:noWrap/>
            <w:vAlign w:val="bottom"/>
            <w:hideMark/>
          </w:tcPr>
          <w:p w:rsidR="005654AA" w:rsidRPr="005654AA" w:rsidRDefault="005654AA" w:rsidP="005654AA">
            <w:pPr>
              <w:spacing w:after="0" w:line="240" w:lineRule="auto"/>
              <w:jc w:val="right"/>
              <w:rPr>
                <w:rFonts w:ascii="Calibri" w:eastAsia="Times New Roman" w:hAnsi="Calibri" w:cs="Calibri"/>
                <w:color w:val="000000"/>
              </w:rPr>
            </w:pPr>
            <w:r w:rsidRPr="005654AA">
              <w:rPr>
                <w:rFonts w:ascii="Calibri" w:eastAsia="Times New Roman" w:hAnsi="Calibri" w:cs="Calibri"/>
                <w:color w:val="000000"/>
              </w:rPr>
              <w:t>-6.923%</w:t>
            </w:r>
          </w:p>
        </w:tc>
      </w:tr>
      <w:tr w:rsidR="005654AA" w:rsidRPr="005654AA" w:rsidTr="005654AA">
        <w:trPr>
          <w:trHeight w:val="288"/>
        </w:trPr>
        <w:tc>
          <w:tcPr>
            <w:tcW w:w="1126" w:type="dxa"/>
            <w:tcBorders>
              <w:top w:val="single" w:sz="4" w:space="0" w:color="000000"/>
              <w:left w:val="single" w:sz="4" w:space="0" w:color="000000"/>
              <w:bottom w:val="nil"/>
              <w:right w:val="nil"/>
            </w:tcBorders>
            <w:shd w:val="clear" w:color="auto" w:fill="auto"/>
            <w:noWrap/>
            <w:vAlign w:val="bottom"/>
            <w:hideMark/>
          </w:tcPr>
          <w:p w:rsidR="005654AA" w:rsidRPr="005654AA" w:rsidRDefault="005654AA" w:rsidP="005654AA">
            <w:pPr>
              <w:spacing w:after="0" w:line="240" w:lineRule="auto"/>
              <w:rPr>
                <w:rFonts w:ascii="Calibri" w:eastAsia="Times New Roman" w:hAnsi="Calibri" w:cs="Calibri"/>
                <w:b/>
                <w:bCs/>
                <w:color w:val="000000"/>
              </w:rPr>
            </w:pPr>
            <w:r w:rsidRPr="005654AA">
              <w:rPr>
                <w:rFonts w:ascii="Calibri" w:eastAsia="Times New Roman" w:hAnsi="Calibri" w:cs="Calibri"/>
                <w:b/>
                <w:bCs/>
                <w:color w:val="000000"/>
              </w:rPr>
              <w:t xml:space="preserve">Median </w:t>
            </w:r>
          </w:p>
        </w:tc>
        <w:tc>
          <w:tcPr>
            <w:tcW w:w="1574" w:type="dxa"/>
            <w:tcBorders>
              <w:top w:val="single" w:sz="4" w:space="0" w:color="000000"/>
              <w:left w:val="nil"/>
              <w:bottom w:val="nil"/>
              <w:right w:val="nil"/>
            </w:tcBorders>
            <w:shd w:val="clear" w:color="auto" w:fill="auto"/>
            <w:noWrap/>
            <w:vAlign w:val="bottom"/>
            <w:hideMark/>
          </w:tcPr>
          <w:p w:rsidR="005654AA" w:rsidRPr="005654AA" w:rsidRDefault="005654AA" w:rsidP="005654AA">
            <w:pPr>
              <w:spacing w:after="0" w:line="240" w:lineRule="auto"/>
              <w:jc w:val="right"/>
              <w:rPr>
                <w:rFonts w:ascii="Calibri" w:eastAsia="Times New Roman" w:hAnsi="Calibri" w:cs="Calibri"/>
                <w:color w:val="000000"/>
              </w:rPr>
            </w:pPr>
            <w:r w:rsidRPr="005654AA">
              <w:rPr>
                <w:rFonts w:ascii="Calibri" w:eastAsia="Times New Roman" w:hAnsi="Calibri" w:cs="Calibri"/>
                <w:color w:val="000000"/>
              </w:rPr>
              <w:t>0.428%</w:t>
            </w:r>
          </w:p>
        </w:tc>
        <w:tc>
          <w:tcPr>
            <w:tcW w:w="1536" w:type="dxa"/>
            <w:tcBorders>
              <w:top w:val="single" w:sz="4" w:space="0" w:color="000000"/>
              <w:left w:val="nil"/>
              <w:bottom w:val="nil"/>
              <w:right w:val="single" w:sz="4" w:space="0" w:color="000000"/>
            </w:tcBorders>
            <w:shd w:val="clear" w:color="auto" w:fill="auto"/>
            <w:noWrap/>
            <w:vAlign w:val="bottom"/>
            <w:hideMark/>
          </w:tcPr>
          <w:p w:rsidR="005654AA" w:rsidRPr="005654AA" w:rsidRDefault="005654AA" w:rsidP="005654AA">
            <w:pPr>
              <w:spacing w:after="0" w:line="240" w:lineRule="auto"/>
              <w:jc w:val="right"/>
              <w:rPr>
                <w:rFonts w:ascii="Calibri" w:eastAsia="Times New Roman" w:hAnsi="Calibri" w:cs="Calibri"/>
                <w:color w:val="000000"/>
              </w:rPr>
            </w:pPr>
            <w:r w:rsidRPr="005654AA">
              <w:rPr>
                <w:rFonts w:ascii="Calibri" w:eastAsia="Times New Roman" w:hAnsi="Calibri" w:cs="Calibri"/>
                <w:color w:val="000000"/>
              </w:rPr>
              <w:t>0.281%</w:t>
            </w:r>
          </w:p>
        </w:tc>
      </w:tr>
      <w:tr w:rsidR="005654AA" w:rsidRPr="005654AA" w:rsidTr="005654AA">
        <w:trPr>
          <w:trHeight w:val="288"/>
        </w:trPr>
        <w:tc>
          <w:tcPr>
            <w:tcW w:w="1126" w:type="dxa"/>
            <w:tcBorders>
              <w:top w:val="single" w:sz="4" w:space="0" w:color="000000"/>
              <w:left w:val="single" w:sz="4" w:space="0" w:color="000000"/>
              <w:bottom w:val="nil"/>
              <w:right w:val="nil"/>
            </w:tcBorders>
            <w:shd w:val="clear" w:color="auto" w:fill="auto"/>
            <w:noWrap/>
            <w:vAlign w:val="bottom"/>
            <w:hideMark/>
          </w:tcPr>
          <w:p w:rsidR="005654AA" w:rsidRPr="005654AA" w:rsidRDefault="005654AA" w:rsidP="005654AA">
            <w:pPr>
              <w:spacing w:after="0" w:line="240" w:lineRule="auto"/>
              <w:rPr>
                <w:rFonts w:ascii="Calibri" w:eastAsia="Times New Roman" w:hAnsi="Calibri" w:cs="Calibri"/>
                <w:b/>
                <w:bCs/>
                <w:color w:val="000000"/>
              </w:rPr>
            </w:pPr>
            <w:r w:rsidRPr="005654AA">
              <w:rPr>
                <w:rFonts w:ascii="Calibri" w:eastAsia="Times New Roman" w:hAnsi="Calibri" w:cs="Calibri"/>
                <w:b/>
                <w:bCs/>
                <w:color w:val="000000"/>
              </w:rPr>
              <w:t xml:space="preserve">Mean   </w:t>
            </w:r>
          </w:p>
        </w:tc>
        <w:tc>
          <w:tcPr>
            <w:tcW w:w="1574" w:type="dxa"/>
            <w:tcBorders>
              <w:top w:val="single" w:sz="4" w:space="0" w:color="000000"/>
              <w:left w:val="nil"/>
              <w:bottom w:val="nil"/>
              <w:right w:val="nil"/>
            </w:tcBorders>
            <w:shd w:val="clear" w:color="auto" w:fill="auto"/>
            <w:noWrap/>
            <w:vAlign w:val="bottom"/>
            <w:hideMark/>
          </w:tcPr>
          <w:p w:rsidR="005654AA" w:rsidRPr="005654AA" w:rsidRDefault="005654AA" w:rsidP="005654AA">
            <w:pPr>
              <w:spacing w:after="0" w:line="240" w:lineRule="auto"/>
              <w:jc w:val="right"/>
              <w:rPr>
                <w:rFonts w:ascii="Calibri" w:eastAsia="Times New Roman" w:hAnsi="Calibri" w:cs="Calibri"/>
                <w:color w:val="000000"/>
              </w:rPr>
            </w:pPr>
            <w:r w:rsidRPr="005654AA">
              <w:rPr>
                <w:rFonts w:ascii="Calibri" w:eastAsia="Times New Roman" w:hAnsi="Calibri" w:cs="Calibri"/>
                <w:color w:val="000000"/>
              </w:rPr>
              <w:t>0.207%</w:t>
            </w:r>
          </w:p>
        </w:tc>
        <w:tc>
          <w:tcPr>
            <w:tcW w:w="1536" w:type="dxa"/>
            <w:tcBorders>
              <w:top w:val="single" w:sz="4" w:space="0" w:color="000000"/>
              <w:left w:val="nil"/>
              <w:bottom w:val="nil"/>
              <w:right w:val="single" w:sz="4" w:space="0" w:color="000000"/>
            </w:tcBorders>
            <w:shd w:val="clear" w:color="auto" w:fill="auto"/>
            <w:noWrap/>
            <w:vAlign w:val="bottom"/>
            <w:hideMark/>
          </w:tcPr>
          <w:p w:rsidR="005654AA" w:rsidRPr="005654AA" w:rsidRDefault="005654AA" w:rsidP="005654AA">
            <w:pPr>
              <w:spacing w:after="0" w:line="240" w:lineRule="auto"/>
              <w:jc w:val="right"/>
              <w:rPr>
                <w:rFonts w:ascii="Calibri" w:eastAsia="Times New Roman" w:hAnsi="Calibri" w:cs="Calibri"/>
                <w:color w:val="000000"/>
              </w:rPr>
            </w:pPr>
            <w:r w:rsidRPr="005654AA">
              <w:rPr>
                <w:rFonts w:ascii="Calibri" w:eastAsia="Times New Roman" w:hAnsi="Calibri" w:cs="Calibri"/>
                <w:color w:val="000000"/>
              </w:rPr>
              <w:t>0.102%</w:t>
            </w:r>
          </w:p>
        </w:tc>
      </w:tr>
      <w:tr w:rsidR="005654AA" w:rsidRPr="005654AA" w:rsidTr="005654AA">
        <w:trPr>
          <w:trHeight w:val="288"/>
        </w:trPr>
        <w:tc>
          <w:tcPr>
            <w:tcW w:w="1126" w:type="dxa"/>
            <w:tcBorders>
              <w:top w:val="single" w:sz="4" w:space="0" w:color="000000"/>
              <w:left w:val="single" w:sz="4" w:space="0" w:color="000000"/>
              <w:bottom w:val="nil"/>
              <w:right w:val="nil"/>
            </w:tcBorders>
            <w:shd w:val="clear" w:color="auto" w:fill="auto"/>
            <w:noWrap/>
            <w:vAlign w:val="bottom"/>
            <w:hideMark/>
          </w:tcPr>
          <w:p w:rsidR="005654AA" w:rsidRPr="005654AA" w:rsidRDefault="005654AA" w:rsidP="005654AA">
            <w:pPr>
              <w:spacing w:after="0" w:line="240" w:lineRule="auto"/>
              <w:rPr>
                <w:rFonts w:ascii="Calibri" w:eastAsia="Times New Roman" w:hAnsi="Calibri" w:cs="Calibri"/>
                <w:b/>
                <w:bCs/>
                <w:color w:val="000000"/>
              </w:rPr>
            </w:pPr>
            <w:r w:rsidRPr="005654AA">
              <w:rPr>
                <w:rFonts w:ascii="Calibri" w:eastAsia="Times New Roman" w:hAnsi="Calibri" w:cs="Calibri"/>
                <w:b/>
                <w:bCs/>
                <w:color w:val="000000"/>
              </w:rPr>
              <w:t>Max</w:t>
            </w:r>
          </w:p>
        </w:tc>
        <w:tc>
          <w:tcPr>
            <w:tcW w:w="1574" w:type="dxa"/>
            <w:tcBorders>
              <w:top w:val="single" w:sz="4" w:space="0" w:color="000000"/>
              <w:left w:val="nil"/>
              <w:bottom w:val="nil"/>
              <w:right w:val="nil"/>
            </w:tcBorders>
            <w:shd w:val="clear" w:color="auto" w:fill="auto"/>
            <w:noWrap/>
            <w:vAlign w:val="bottom"/>
            <w:hideMark/>
          </w:tcPr>
          <w:p w:rsidR="005654AA" w:rsidRPr="005654AA" w:rsidRDefault="005654AA" w:rsidP="005654AA">
            <w:pPr>
              <w:spacing w:after="0" w:line="240" w:lineRule="auto"/>
              <w:jc w:val="right"/>
              <w:rPr>
                <w:rFonts w:ascii="Calibri" w:eastAsia="Times New Roman" w:hAnsi="Calibri" w:cs="Calibri"/>
                <w:color w:val="000000"/>
              </w:rPr>
            </w:pPr>
            <w:r w:rsidRPr="005654AA">
              <w:rPr>
                <w:rFonts w:ascii="Calibri" w:eastAsia="Times New Roman" w:hAnsi="Calibri" w:cs="Calibri"/>
                <w:color w:val="000000"/>
              </w:rPr>
              <w:t>6.108%</w:t>
            </w:r>
          </w:p>
        </w:tc>
        <w:tc>
          <w:tcPr>
            <w:tcW w:w="1536" w:type="dxa"/>
            <w:tcBorders>
              <w:top w:val="single" w:sz="4" w:space="0" w:color="000000"/>
              <w:left w:val="nil"/>
              <w:bottom w:val="nil"/>
              <w:right w:val="single" w:sz="4" w:space="0" w:color="000000"/>
            </w:tcBorders>
            <w:shd w:val="clear" w:color="auto" w:fill="auto"/>
            <w:noWrap/>
            <w:vAlign w:val="bottom"/>
            <w:hideMark/>
          </w:tcPr>
          <w:p w:rsidR="005654AA" w:rsidRPr="005654AA" w:rsidRDefault="005654AA" w:rsidP="005654AA">
            <w:pPr>
              <w:spacing w:after="0" w:line="240" w:lineRule="auto"/>
              <w:jc w:val="right"/>
              <w:rPr>
                <w:rFonts w:ascii="Calibri" w:eastAsia="Times New Roman" w:hAnsi="Calibri" w:cs="Calibri"/>
                <w:color w:val="000000"/>
              </w:rPr>
            </w:pPr>
            <w:r w:rsidRPr="005654AA">
              <w:rPr>
                <w:rFonts w:ascii="Calibri" w:eastAsia="Times New Roman" w:hAnsi="Calibri" w:cs="Calibri"/>
                <w:color w:val="000000"/>
              </w:rPr>
              <w:t>3.968%</w:t>
            </w:r>
          </w:p>
        </w:tc>
      </w:tr>
      <w:tr w:rsidR="005654AA" w:rsidRPr="005654AA" w:rsidTr="005654AA">
        <w:trPr>
          <w:trHeight w:val="288"/>
        </w:trPr>
        <w:tc>
          <w:tcPr>
            <w:tcW w:w="1126" w:type="dxa"/>
            <w:tcBorders>
              <w:top w:val="single" w:sz="4" w:space="0" w:color="000000"/>
              <w:left w:val="single" w:sz="4" w:space="0" w:color="000000"/>
              <w:bottom w:val="single" w:sz="4" w:space="0" w:color="000000"/>
              <w:right w:val="nil"/>
            </w:tcBorders>
            <w:shd w:val="clear" w:color="auto" w:fill="auto"/>
            <w:noWrap/>
            <w:vAlign w:val="bottom"/>
            <w:hideMark/>
          </w:tcPr>
          <w:p w:rsidR="005654AA" w:rsidRPr="005654AA" w:rsidRDefault="005654AA" w:rsidP="005654AA">
            <w:pPr>
              <w:spacing w:after="0" w:line="240" w:lineRule="auto"/>
              <w:rPr>
                <w:rFonts w:ascii="Calibri" w:eastAsia="Times New Roman" w:hAnsi="Calibri" w:cs="Calibri"/>
                <w:b/>
                <w:bCs/>
                <w:color w:val="000000"/>
              </w:rPr>
            </w:pPr>
            <w:r w:rsidRPr="005654AA">
              <w:rPr>
                <w:rFonts w:ascii="Calibri" w:eastAsia="Times New Roman" w:hAnsi="Calibri" w:cs="Calibri"/>
                <w:b/>
                <w:bCs/>
                <w:color w:val="000000"/>
              </w:rPr>
              <w:t>Std. Dev.</w:t>
            </w:r>
          </w:p>
        </w:tc>
        <w:tc>
          <w:tcPr>
            <w:tcW w:w="1574" w:type="dxa"/>
            <w:tcBorders>
              <w:top w:val="single" w:sz="4" w:space="0" w:color="000000"/>
              <w:left w:val="nil"/>
              <w:bottom w:val="single" w:sz="4" w:space="0" w:color="000000"/>
              <w:right w:val="nil"/>
            </w:tcBorders>
            <w:shd w:val="clear" w:color="auto" w:fill="auto"/>
            <w:noWrap/>
            <w:vAlign w:val="bottom"/>
            <w:hideMark/>
          </w:tcPr>
          <w:p w:rsidR="005654AA" w:rsidRPr="005654AA" w:rsidRDefault="005654AA" w:rsidP="005654AA">
            <w:pPr>
              <w:spacing w:after="0" w:line="240" w:lineRule="auto"/>
              <w:jc w:val="right"/>
              <w:rPr>
                <w:rFonts w:ascii="Calibri" w:eastAsia="Times New Roman" w:hAnsi="Calibri" w:cs="Calibri"/>
                <w:color w:val="000000"/>
              </w:rPr>
            </w:pPr>
            <w:r w:rsidRPr="005654AA">
              <w:rPr>
                <w:rFonts w:ascii="Calibri" w:eastAsia="Times New Roman" w:hAnsi="Calibri" w:cs="Calibri"/>
                <w:color w:val="000000"/>
              </w:rPr>
              <w:t>0.02479</w:t>
            </w:r>
          </w:p>
        </w:tc>
        <w:tc>
          <w:tcPr>
            <w:tcW w:w="1536" w:type="dxa"/>
            <w:tcBorders>
              <w:top w:val="single" w:sz="4" w:space="0" w:color="000000"/>
              <w:left w:val="nil"/>
              <w:bottom w:val="single" w:sz="4" w:space="0" w:color="000000"/>
              <w:right w:val="single" w:sz="4" w:space="0" w:color="000000"/>
            </w:tcBorders>
            <w:shd w:val="clear" w:color="auto" w:fill="auto"/>
            <w:noWrap/>
            <w:vAlign w:val="bottom"/>
            <w:hideMark/>
          </w:tcPr>
          <w:p w:rsidR="005654AA" w:rsidRPr="005654AA" w:rsidRDefault="005654AA" w:rsidP="005654AA">
            <w:pPr>
              <w:spacing w:after="0" w:line="240" w:lineRule="auto"/>
              <w:jc w:val="right"/>
              <w:rPr>
                <w:rFonts w:ascii="Calibri" w:eastAsia="Times New Roman" w:hAnsi="Calibri" w:cs="Calibri"/>
                <w:color w:val="000000"/>
              </w:rPr>
            </w:pPr>
            <w:r w:rsidRPr="005654AA">
              <w:rPr>
                <w:rFonts w:ascii="Calibri" w:eastAsia="Times New Roman" w:hAnsi="Calibri" w:cs="Calibri"/>
                <w:color w:val="000000"/>
              </w:rPr>
              <w:t>0.01701</w:t>
            </w:r>
          </w:p>
        </w:tc>
      </w:tr>
    </w:tbl>
    <w:p w:rsidR="007A4F9D" w:rsidRDefault="007A4F9D" w:rsidP="005654AA">
      <w:pPr>
        <w:spacing w:line="480" w:lineRule="auto"/>
        <w:jc w:val="both"/>
        <w:rPr>
          <w:rFonts w:eastAsiaTheme="minorEastAsia"/>
        </w:rPr>
      </w:pPr>
      <w:r>
        <w:t>The weekly returns of the observed five ETFs were calculated</w:t>
      </w:r>
      <w:r w:rsidR="001E1E20">
        <w:t xml:space="preserve"> previously</w:t>
      </w:r>
      <w:r>
        <w:t xml:space="preserve">. </w:t>
      </w:r>
      <w:r w:rsidR="001E1E20">
        <w:t xml:space="preserve">The same approach </w:t>
      </w:r>
      <w:r w:rsidR="005654AA">
        <w:t xml:space="preserve">was followed when </w:t>
      </w:r>
      <w:r w:rsidR="001E1E20">
        <w:t>calculating the</w:t>
      </w:r>
      <w:r>
        <w:t xml:space="preserve"> weekly returns of the market indexes, </w:t>
      </w:r>
      <w:r w:rsidR="005654AA">
        <w:t xml:space="preserve">which were the </w:t>
      </w:r>
      <w:r>
        <w:t>S&amp;P 500 (</w:t>
      </w:r>
      <w:r w:rsidR="006544FD">
        <w:t>S&amp;P</w:t>
      </w:r>
      <w:r>
        <w:t xml:space="preserve">) and Dow Jones US Technology (DJUSTC). The returns were calculated using the </w:t>
      </w:r>
      <w:r w:rsidR="000B27C7">
        <w:t>log return</w:t>
      </w:r>
      <w:r>
        <w:t xml:space="preserve"> formula, </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sub>
                </m:sSub>
              </m:e>
            </m:d>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r>
                      <w:rPr>
                        <w:rFonts w:ascii="Cambria Math" w:hAnsi="Cambria Math"/>
                      </w:rPr>
                      <m:t>-1</m:t>
                    </m:r>
                  </m:sub>
                </m:sSub>
              </m:e>
            </m:d>
          </m:e>
        </m:func>
        <m:r>
          <w:rPr>
            <w:rFonts w:ascii="Cambria Math" w:hAnsi="Cambria Math"/>
          </w:rPr>
          <m:t>.</m:t>
        </m:r>
      </m:oMath>
      <w:r>
        <w:rPr>
          <w:rFonts w:eastAsiaTheme="minorEastAsia"/>
        </w:rPr>
        <w:t xml:space="preserve"> </w:t>
      </w:r>
      <w:r w:rsidR="00540985">
        <w:rPr>
          <w:rFonts w:eastAsiaTheme="minorEastAsia"/>
        </w:rPr>
        <w:t>On average the weekly returns for the DJUSTC were 0.21%, which was 0.11% higher than that of the S&amp;P</w:t>
      </w:r>
      <w:r w:rsidR="005654AA">
        <w:rPr>
          <w:rFonts w:eastAsiaTheme="minorEastAsia"/>
        </w:rPr>
        <w:t xml:space="preserve"> </w:t>
      </w:r>
      <w:r w:rsidR="00540985">
        <w:rPr>
          <w:rFonts w:eastAsiaTheme="minorEastAsia"/>
        </w:rPr>
        <w:t xml:space="preserve">500. </w:t>
      </w:r>
      <w:r w:rsidR="005654AA">
        <w:rPr>
          <w:rFonts w:eastAsiaTheme="minorEastAsia"/>
        </w:rPr>
        <w:t xml:space="preserve">The </w:t>
      </w:r>
      <w:r w:rsidR="00011D9C">
        <w:rPr>
          <w:rFonts w:eastAsiaTheme="minorEastAsia"/>
        </w:rPr>
        <w:t xml:space="preserve">Dow Jones US Technology Index invests in niche companies, particularly technology companies. On the other hand, S&amp;P500’s investments </w:t>
      </w:r>
      <w:r w:rsidR="006544FD">
        <w:rPr>
          <w:rFonts w:eastAsiaTheme="minorEastAsia"/>
        </w:rPr>
        <w:t>are spread</w:t>
      </w:r>
      <w:r w:rsidR="00011D9C">
        <w:rPr>
          <w:rFonts w:eastAsiaTheme="minorEastAsia"/>
        </w:rPr>
        <w:t xml:space="preserve"> across different industries</w:t>
      </w:r>
      <w:r w:rsidR="006544FD">
        <w:rPr>
          <w:rFonts w:eastAsiaTheme="minorEastAsia"/>
        </w:rPr>
        <w:t xml:space="preserve"> and sectors</w:t>
      </w:r>
      <w:r w:rsidR="00011D9C">
        <w:rPr>
          <w:rFonts w:eastAsiaTheme="minorEastAsia"/>
        </w:rPr>
        <w:t xml:space="preserve">, making it </w:t>
      </w:r>
      <w:r w:rsidR="006544FD">
        <w:rPr>
          <w:rFonts w:eastAsiaTheme="minorEastAsia"/>
        </w:rPr>
        <w:t xml:space="preserve">the basket of investments </w:t>
      </w:r>
      <w:r w:rsidR="00011D9C">
        <w:rPr>
          <w:rFonts w:eastAsiaTheme="minorEastAsia"/>
        </w:rPr>
        <w:t>more diversified than the DJUSTC.</w:t>
      </w:r>
      <w:r w:rsidR="006544FD">
        <w:rPr>
          <w:rFonts w:eastAsiaTheme="minorEastAsia"/>
        </w:rPr>
        <w:t xml:space="preserve"> By observing the standard deviation of the weekly returns of the DJUSTC and the S&amp;P</w:t>
      </w:r>
      <w:r w:rsidR="005654AA">
        <w:rPr>
          <w:rFonts w:eastAsiaTheme="minorEastAsia"/>
        </w:rPr>
        <w:t xml:space="preserve">, we can see </w:t>
      </w:r>
      <w:r w:rsidR="006544FD">
        <w:rPr>
          <w:rFonts w:eastAsiaTheme="minorEastAsia"/>
        </w:rPr>
        <w:t xml:space="preserve">that the DJUSTC’s weekly returns are higher due to higher risk taken from investment. </w:t>
      </w:r>
    </w:p>
    <w:p w:rsidR="003A7FD7" w:rsidRDefault="006544FD" w:rsidP="00540985">
      <w:pPr>
        <w:spacing w:line="480" w:lineRule="auto"/>
        <w:jc w:val="center"/>
      </w:pPr>
      <w:r>
        <w:fldChar w:fldCharType="begin"/>
      </w:r>
      <w:r>
        <w:instrText xml:space="preserve"> LINK Excel.Sheet.12 "Book2" "Sheet1!R1C3:R7C5" \a \f 4 \h </w:instrText>
      </w:r>
      <w:r w:rsidR="003A7FD7">
        <w:fldChar w:fldCharType="separate"/>
      </w:r>
    </w:p>
    <w:p w:rsidR="00540985" w:rsidRDefault="006544FD" w:rsidP="00540985">
      <w:pPr>
        <w:spacing w:line="480" w:lineRule="auto"/>
        <w:jc w:val="center"/>
      </w:pPr>
      <w:r>
        <w:fldChar w:fldCharType="end"/>
      </w:r>
    </w:p>
    <w:p w:rsidR="005654AA" w:rsidRDefault="005654AA" w:rsidP="005654AA">
      <w:pPr>
        <w:spacing w:line="480" w:lineRule="auto"/>
        <w:rPr>
          <w:b/>
          <w:u w:val="single"/>
        </w:rPr>
      </w:pPr>
    </w:p>
    <w:p w:rsidR="00823DDB" w:rsidRDefault="00823DDB" w:rsidP="005654AA">
      <w:pPr>
        <w:spacing w:line="480" w:lineRule="auto"/>
        <w:rPr>
          <w:b/>
          <w:sz w:val="24"/>
          <w:u w:val="single"/>
        </w:rPr>
      </w:pPr>
    </w:p>
    <w:p w:rsidR="005654AA" w:rsidRDefault="005654AA" w:rsidP="005654AA">
      <w:pPr>
        <w:spacing w:line="480" w:lineRule="auto"/>
        <w:rPr>
          <w:b/>
          <w:sz w:val="24"/>
          <w:u w:val="single"/>
        </w:rPr>
      </w:pPr>
      <w:r w:rsidRPr="005654AA">
        <w:rPr>
          <w:b/>
          <w:sz w:val="24"/>
          <w:u w:val="single"/>
        </w:rPr>
        <w:t>Excess Returns</w:t>
      </w:r>
    </w:p>
    <w:p w:rsidR="00823DDB" w:rsidRDefault="00896783" w:rsidP="00823DDB">
      <w:pPr>
        <w:spacing w:line="480" w:lineRule="auto"/>
      </w:pPr>
      <w:r>
        <w:t>The excess return of an asset is</w:t>
      </w:r>
      <w:r w:rsidR="00FC43AD">
        <w:t xml:space="preserve"> the amount</w:t>
      </w:r>
      <w:r>
        <w:t xml:space="preserve"> earned </w:t>
      </w:r>
      <w:r w:rsidR="009F552E">
        <w:t>more than</w:t>
      </w:r>
      <w:r>
        <w:t xml:space="preserve"> the risk-free rate </w:t>
      </w:r>
      <w:r w:rsidR="00FC43AD">
        <w:t xml:space="preserve">with respect of time. The excess returns were calculated for each ETF and market indexes by subtracting the risk-free rate from weekly returns. </w:t>
      </w:r>
      <w:r w:rsidR="00823DDB">
        <w:t>When analyzing the results, po</w:t>
      </w:r>
      <w:r w:rsidR="00823DDB" w:rsidRPr="00FC43AD">
        <w:t xml:space="preserve">sitive excess returns </w:t>
      </w:r>
      <w:r w:rsidR="00823DDB">
        <w:t>indicate that</w:t>
      </w:r>
      <w:r w:rsidR="00823DDB" w:rsidRPr="00FC43AD">
        <w:t xml:space="preserve"> </w:t>
      </w:r>
      <w:r w:rsidR="00823DDB">
        <w:t xml:space="preserve">the stock, or portfolio </w:t>
      </w:r>
      <w:r w:rsidR="00823DDB" w:rsidRPr="00FC43AD">
        <w:t>outperformed the riskless rate or benchmark</w:t>
      </w:r>
      <w:r w:rsidR="00823DDB">
        <w:t>. On the other hand,</w:t>
      </w:r>
      <w:r w:rsidR="00823DDB" w:rsidRPr="00FC43AD">
        <w:t xml:space="preserve"> negative excess returns occur when an investment underperforms in comparison to the risk</w:t>
      </w:r>
      <w:r w:rsidR="00214540">
        <w:t>-free</w:t>
      </w:r>
      <w:r w:rsidR="00823DDB" w:rsidRPr="00FC43AD">
        <w:t xml:space="preserve"> rate or benchmark.</w:t>
      </w:r>
      <w:r w:rsidR="009F552E">
        <w:t xml:space="preserve"> </w:t>
      </w:r>
    </w:p>
    <w:p w:rsidR="00FC43AD" w:rsidRDefault="00FC43AD" w:rsidP="005654AA">
      <w:pPr>
        <w:spacing w:line="480" w:lineRule="auto"/>
      </w:pPr>
    </w:p>
    <w:p w:rsidR="00127132" w:rsidRDefault="00214540" w:rsidP="00FC43AD">
      <w:pPr>
        <w:spacing w:line="480" w:lineRule="auto"/>
        <w:rPr>
          <w:b/>
          <w:sz w:val="24"/>
          <w:u w:val="single"/>
        </w:rPr>
      </w:pPr>
      <w:r w:rsidRPr="00214540">
        <w:rPr>
          <w:b/>
          <w:sz w:val="24"/>
          <w:u w:val="single"/>
        </w:rPr>
        <w:lastRenderedPageBreak/>
        <w:t>CAPM Single-Factor Model</w:t>
      </w:r>
    </w:p>
    <w:tbl>
      <w:tblPr>
        <w:tblpPr w:leftFromText="180" w:rightFromText="180" w:vertAnchor="text" w:horzAnchor="margin" w:tblpXSpec="center" w:tblpY="4164"/>
        <w:tblW w:w="5604" w:type="dxa"/>
        <w:tblLook w:val="04A0" w:firstRow="1" w:lastRow="0" w:firstColumn="1" w:lastColumn="0" w:noHBand="0" w:noVBand="1"/>
      </w:tblPr>
      <w:tblGrid>
        <w:gridCol w:w="749"/>
        <w:gridCol w:w="971"/>
        <w:gridCol w:w="971"/>
        <w:gridCol w:w="971"/>
        <w:gridCol w:w="971"/>
        <w:gridCol w:w="971"/>
      </w:tblGrid>
      <w:tr w:rsidR="00D6263E" w:rsidRPr="00901FD0" w:rsidTr="00D6263E">
        <w:trPr>
          <w:trHeight w:val="288"/>
        </w:trPr>
        <w:tc>
          <w:tcPr>
            <w:tcW w:w="5604" w:type="dxa"/>
            <w:gridSpan w:val="6"/>
            <w:tcBorders>
              <w:top w:val="nil"/>
              <w:left w:val="nil"/>
              <w:bottom w:val="nil"/>
              <w:right w:val="nil"/>
            </w:tcBorders>
            <w:shd w:val="clear" w:color="000000" w:fill="000000"/>
            <w:noWrap/>
            <w:vAlign w:val="bottom"/>
            <w:hideMark/>
          </w:tcPr>
          <w:p w:rsidR="00D6263E" w:rsidRPr="00901FD0" w:rsidRDefault="00D6263E" w:rsidP="00D6263E">
            <w:pPr>
              <w:spacing w:after="0" w:line="240" w:lineRule="auto"/>
              <w:jc w:val="center"/>
              <w:rPr>
                <w:rFonts w:ascii="Calibri" w:eastAsia="Times New Roman" w:hAnsi="Calibri" w:cs="Calibri"/>
                <w:b/>
                <w:bCs/>
                <w:color w:val="FFFFFF"/>
              </w:rPr>
            </w:pPr>
            <w:r w:rsidRPr="00901FD0">
              <w:rPr>
                <w:rFonts w:ascii="Calibri" w:eastAsia="Times New Roman" w:hAnsi="Calibri" w:cs="Calibri"/>
                <w:b/>
                <w:bCs/>
                <w:color w:val="FFFFFF"/>
              </w:rPr>
              <w:t>Regression on DJUSTC</w:t>
            </w:r>
          </w:p>
        </w:tc>
      </w:tr>
      <w:tr w:rsidR="00D6263E" w:rsidRPr="00901FD0" w:rsidTr="00D6263E">
        <w:trPr>
          <w:trHeight w:val="288"/>
        </w:trPr>
        <w:tc>
          <w:tcPr>
            <w:tcW w:w="749" w:type="dxa"/>
            <w:tcBorders>
              <w:top w:val="single" w:sz="4" w:space="0" w:color="000000"/>
              <w:left w:val="single" w:sz="4" w:space="0" w:color="000000"/>
              <w:bottom w:val="nil"/>
              <w:right w:val="nil"/>
            </w:tcBorders>
            <w:shd w:val="clear" w:color="000000" w:fill="000000"/>
            <w:noWrap/>
            <w:vAlign w:val="bottom"/>
            <w:hideMark/>
          </w:tcPr>
          <w:p w:rsidR="00D6263E" w:rsidRPr="00901FD0" w:rsidRDefault="00D6263E" w:rsidP="00D6263E">
            <w:pPr>
              <w:spacing w:after="0" w:line="240" w:lineRule="auto"/>
              <w:rPr>
                <w:rFonts w:ascii="Calibri" w:eastAsia="Times New Roman" w:hAnsi="Calibri" w:cs="Calibri"/>
                <w:b/>
                <w:bCs/>
                <w:color w:val="FFFFFF"/>
              </w:rPr>
            </w:pPr>
            <w:r w:rsidRPr="00901FD0">
              <w:rPr>
                <w:rFonts w:ascii="Calibri" w:eastAsia="Times New Roman" w:hAnsi="Calibri" w:cs="Calibri"/>
                <w:b/>
                <w:bCs/>
                <w:color w:val="FFFFFF"/>
              </w:rPr>
              <w:t> </w:t>
            </w:r>
          </w:p>
        </w:tc>
        <w:tc>
          <w:tcPr>
            <w:tcW w:w="971" w:type="dxa"/>
            <w:tcBorders>
              <w:top w:val="single" w:sz="4" w:space="0" w:color="000000"/>
              <w:left w:val="nil"/>
              <w:bottom w:val="nil"/>
              <w:right w:val="nil"/>
            </w:tcBorders>
            <w:shd w:val="clear" w:color="000000" w:fill="000000"/>
            <w:noWrap/>
            <w:vAlign w:val="bottom"/>
            <w:hideMark/>
          </w:tcPr>
          <w:p w:rsidR="00D6263E" w:rsidRPr="00901FD0" w:rsidRDefault="00D6263E" w:rsidP="00D6263E">
            <w:pPr>
              <w:spacing w:after="0" w:line="240" w:lineRule="auto"/>
              <w:jc w:val="center"/>
              <w:rPr>
                <w:rFonts w:ascii="Calibri" w:eastAsia="Times New Roman" w:hAnsi="Calibri" w:cs="Calibri"/>
                <w:b/>
                <w:bCs/>
                <w:color w:val="FFFFFF"/>
              </w:rPr>
            </w:pPr>
            <w:r w:rsidRPr="00901FD0">
              <w:rPr>
                <w:rFonts w:ascii="Calibri" w:eastAsia="Times New Roman" w:hAnsi="Calibri" w:cs="Calibri"/>
                <w:b/>
                <w:bCs/>
                <w:color w:val="FFFFFF"/>
              </w:rPr>
              <w:t>QQQ</w:t>
            </w:r>
          </w:p>
        </w:tc>
        <w:tc>
          <w:tcPr>
            <w:tcW w:w="971" w:type="dxa"/>
            <w:tcBorders>
              <w:top w:val="single" w:sz="4" w:space="0" w:color="000000"/>
              <w:left w:val="nil"/>
              <w:bottom w:val="nil"/>
              <w:right w:val="nil"/>
            </w:tcBorders>
            <w:shd w:val="clear" w:color="000000" w:fill="000000"/>
            <w:noWrap/>
            <w:vAlign w:val="bottom"/>
            <w:hideMark/>
          </w:tcPr>
          <w:p w:rsidR="00D6263E" w:rsidRPr="00901FD0" w:rsidRDefault="00D6263E" w:rsidP="00D6263E">
            <w:pPr>
              <w:spacing w:after="0" w:line="240" w:lineRule="auto"/>
              <w:jc w:val="center"/>
              <w:rPr>
                <w:rFonts w:ascii="Calibri" w:eastAsia="Times New Roman" w:hAnsi="Calibri" w:cs="Calibri"/>
                <w:b/>
                <w:bCs/>
                <w:color w:val="FFFFFF"/>
              </w:rPr>
            </w:pPr>
            <w:r w:rsidRPr="00901FD0">
              <w:rPr>
                <w:rFonts w:ascii="Calibri" w:eastAsia="Times New Roman" w:hAnsi="Calibri" w:cs="Calibri"/>
                <w:b/>
                <w:bCs/>
                <w:color w:val="FFFFFF"/>
              </w:rPr>
              <w:t>XLK</w:t>
            </w:r>
          </w:p>
        </w:tc>
        <w:tc>
          <w:tcPr>
            <w:tcW w:w="971" w:type="dxa"/>
            <w:tcBorders>
              <w:top w:val="single" w:sz="4" w:space="0" w:color="000000"/>
              <w:left w:val="nil"/>
              <w:bottom w:val="nil"/>
              <w:right w:val="nil"/>
            </w:tcBorders>
            <w:shd w:val="clear" w:color="000000" w:fill="000000"/>
            <w:noWrap/>
            <w:vAlign w:val="bottom"/>
            <w:hideMark/>
          </w:tcPr>
          <w:p w:rsidR="00D6263E" w:rsidRPr="00901FD0" w:rsidRDefault="00D6263E" w:rsidP="00D6263E">
            <w:pPr>
              <w:spacing w:after="0" w:line="240" w:lineRule="auto"/>
              <w:jc w:val="center"/>
              <w:rPr>
                <w:rFonts w:ascii="Calibri" w:eastAsia="Times New Roman" w:hAnsi="Calibri" w:cs="Calibri"/>
                <w:b/>
                <w:bCs/>
                <w:color w:val="FFFFFF"/>
              </w:rPr>
            </w:pPr>
            <w:r w:rsidRPr="00901FD0">
              <w:rPr>
                <w:rFonts w:ascii="Calibri" w:eastAsia="Times New Roman" w:hAnsi="Calibri" w:cs="Calibri"/>
                <w:b/>
                <w:bCs/>
                <w:color w:val="FFFFFF"/>
              </w:rPr>
              <w:t>PNQI</w:t>
            </w:r>
          </w:p>
        </w:tc>
        <w:tc>
          <w:tcPr>
            <w:tcW w:w="971" w:type="dxa"/>
            <w:tcBorders>
              <w:top w:val="single" w:sz="4" w:space="0" w:color="000000"/>
              <w:left w:val="nil"/>
              <w:bottom w:val="nil"/>
              <w:right w:val="nil"/>
            </w:tcBorders>
            <w:shd w:val="clear" w:color="000000" w:fill="000000"/>
            <w:noWrap/>
            <w:vAlign w:val="bottom"/>
            <w:hideMark/>
          </w:tcPr>
          <w:p w:rsidR="00D6263E" w:rsidRPr="00901FD0" w:rsidRDefault="00D6263E" w:rsidP="00D6263E">
            <w:pPr>
              <w:spacing w:after="0" w:line="240" w:lineRule="auto"/>
              <w:jc w:val="center"/>
              <w:rPr>
                <w:rFonts w:ascii="Calibri" w:eastAsia="Times New Roman" w:hAnsi="Calibri" w:cs="Calibri"/>
                <w:b/>
                <w:bCs/>
                <w:color w:val="FFFFFF"/>
              </w:rPr>
            </w:pPr>
            <w:r w:rsidRPr="00901FD0">
              <w:rPr>
                <w:rFonts w:ascii="Calibri" w:eastAsia="Times New Roman" w:hAnsi="Calibri" w:cs="Calibri"/>
                <w:b/>
                <w:bCs/>
                <w:color w:val="FFFFFF"/>
              </w:rPr>
              <w:t>FDN</w:t>
            </w:r>
          </w:p>
        </w:tc>
        <w:tc>
          <w:tcPr>
            <w:tcW w:w="971" w:type="dxa"/>
            <w:tcBorders>
              <w:top w:val="single" w:sz="4" w:space="0" w:color="000000"/>
              <w:left w:val="nil"/>
              <w:bottom w:val="nil"/>
              <w:right w:val="single" w:sz="4" w:space="0" w:color="000000"/>
            </w:tcBorders>
            <w:shd w:val="clear" w:color="000000" w:fill="000000"/>
            <w:noWrap/>
            <w:vAlign w:val="bottom"/>
            <w:hideMark/>
          </w:tcPr>
          <w:p w:rsidR="00D6263E" w:rsidRPr="00901FD0" w:rsidRDefault="00D6263E" w:rsidP="00D6263E">
            <w:pPr>
              <w:spacing w:after="0" w:line="240" w:lineRule="auto"/>
              <w:jc w:val="center"/>
              <w:rPr>
                <w:rFonts w:ascii="Calibri" w:eastAsia="Times New Roman" w:hAnsi="Calibri" w:cs="Calibri"/>
                <w:b/>
                <w:bCs/>
                <w:color w:val="FFFFFF"/>
              </w:rPr>
            </w:pPr>
            <w:r w:rsidRPr="00901FD0">
              <w:rPr>
                <w:rFonts w:ascii="Calibri" w:eastAsia="Times New Roman" w:hAnsi="Calibri" w:cs="Calibri"/>
                <w:b/>
                <w:bCs/>
                <w:color w:val="FFFFFF"/>
              </w:rPr>
              <w:t>IYW</w:t>
            </w:r>
          </w:p>
        </w:tc>
      </w:tr>
      <w:tr w:rsidR="00D6263E" w:rsidRPr="00901FD0" w:rsidTr="00D6263E">
        <w:trPr>
          <w:trHeight w:val="288"/>
        </w:trPr>
        <w:tc>
          <w:tcPr>
            <w:tcW w:w="749" w:type="dxa"/>
            <w:tcBorders>
              <w:top w:val="single" w:sz="4" w:space="0" w:color="000000"/>
              <w:left w:val="single" w:sz="4" w:space="0" w:color="000000"/>
              <w:bottom w:val="nil"/>
              <w:right w:val="nil"/>
            </w:tcBorders>
            <w:shd w:val="clear" w:color="auto" w:fill="auto"/>
            <w:noWrap/>
            <w:vAlign w:val="bottom"/>
            <w:hideMark/>
          </w:tcPr>
          <w:p w:rsidR="00D6263E" w:rsidRPr="00901FD0" w:rsidRDefault="00D6263E" w:rsidP="00D6263E">
            <w:pPr>
              <w:spacing w:after="0" w:line="240" w:lineRule="auto"/>
              <w:rPr>
                <w:rFonts w:ascii="Calibri" w:eastAsia="Times New Roman" w:hAnsi="Calibri" w:cs="Calibri"/>
                <w:b/>
                <w:bCs/>
                <w:color w:val="000000"/>
              </w:rPr>
            </w:pPr>
            <w:r w:rsidRPr="00901FD0">
              <w:rPr>
                <w:rFonts w:ascii="Calibri" w:eastAsia="Times New Roman" w:hAnsi="Calibri" w:cs="Calibri"/>
                <w:b/>
                <w:bCs/>
                <w:color w:val="000000"/>
              </w:rPr>
              <w:t>Alpha</w:t>
            </w:r>
          </w:p>
        </w:tc>
        <w:tc>
          <w:tcPr>
            <w:tcW w:w="971" w:type="dxa"/>
            <w:tcBorders>
              <w:top w:val="single" w:sz="4" w:space="0" w:color="000000"/>
              <w:left w:val="nil"/>
              <w:bottom w:val="nil"/>
              <w:right w:val="nil"/>
            </w:tcBorders>
            <w:shd w:val="clear" w:color="auto" w:fill="auto"/>
            <w:noWrap/>
            <w:vAlign w:val="bottom"/>
            <w:hideMark/>
          </w:tcPr>
          <w:p w:rsidR="00D6263E" w:rsidRPr="00901FD0" w:rsidRDefault="00D6263E" w:rsidP="00D6263E">
            <w:pPr>
              <w:spacing w:after="0" w:line="240" w:lineRule="auto"/>
              <w:jc w:val="right"/>
              <w:rPr>
                <w:rFonts w:ascii="Calibri" w:eastAsia="Times New Roman" w:hAnsi="Calibri" w:cs="Calibri"/>
                <w:color w:val="000000"/>
              </w:rPr>
            </w:pPr>
            <w:r w:rsidRPr="00901FD0">
              <w:rPr>
                <w:rFonts w:ascii="Calibri" w:eastAsia="Times New Roman" w:hAnsi="Calibri" w:cs="Calibri"/>
                <w:color w:val="000000"/>
              </w:rPr>
              <w:t>0.00132</w:t>
            </w:r>
          </w:p>
        </w:tc>
        <w:tc>
          <w:tcPr>
            <w:tcW w:w="971" w:type="dxa"/>
            <w:tcBorders>
              <w:top w:val="single" w:sz="4" w:space="0" w:color="000000"/>
              <w:left w:val="nil"/>
              <w:bottom w:val="nil"/>
              <w:right w:val="nil"/>
            </w:tcBorders>
            <w:shd w:val="clear" w:color="auto" w:fill="auto"/>
            <w:noWrap/>
            <w:vAlign w:val="bottom"/>
            <w:hideMark/>
          </w:tcPr>
          <w:p w:rsidR="00D6263E" w:rsidRPr="00901FD0" w:rsidRDefault="00D6263E" w:rsidP="00D6263E">
            <w:pPr>
              <w:spacing w:after="0" w:line="240" w:lineRule="auto"/>
              <w:jc w:val="right"/>
              <w:rPr>
                <w:rFonts w:ascii="Calibri" w:eastAsia="Times New Roman" w:hAnsi="Calibri" w:cs="Calibri"/>
                <w:color w:val="000000"/>
              </w:rPr>
            </w:pPr>
            <w:r w:rsidRPr="00901FD0">
              <w:rPr>
                <w:rFonts w:ascii="Calibri" w:eastAsia="Times New Roman" w:hAnsi="Calibri" w:cs="Calibri"/>
                <w:color w:val="000000"/>
              </w:rPr>
              <w:t>0.00167</w:t>
            </w:r>
          </w:p>
        </w:tc>
        <w:tc>
          <w:tcPr>
            <w:tcW w:w="971" w:type="dxa"/>
            <w:tcBorders>
              <w:top w:val="single" w:sz="4" w:space="0" w:color="000000"/>
              <w:left w:val="nil"/>
              <w:bottom w:val="nil"/>
              <w:right w:val="nil"/>
            </w:tcBorders>
            <w:shd w:val="clear" w:color="auto" w:fill="auto"/>
            <w:noWrap/>
            <w:vAlign w:val="bottom"/>
            <w:hideMark/>
          </w:tcPr>
          <w:p w:rsidR="00D6263E" w:rsidRPr="00901FD0" w:rsidRDefault="00D6263E" w:rsidP="00D6263E">
            <w:pPr>
              <w:spacing w:after="0" w:line="240" w:lineRule="auto"/>
              <w:jc w:val="right"/>
              <w:rPr>
                <w:rFonts w:ascii="Calibri" w:eastAsia="Times New Roman" w:hAnsi="Calibri" w:cs="Calibri"/>
                <w:color w:val="000000"/>
              </w:rPr>
            </w:pPr>
            <w:r w:rsidRPr="00901FD0">
              <w:rPr>
                <w:rFonts w:ascii="Calibri" w:eastAsia="Times New Roman" w:hAnsi="Calibri" w:cs="Calibri"/>
                <w:color w:val="000000"/>
              </w:rPr>
              <w:t>0.00151</w:t>
            </w:r>
          </w:p>
        </w:tc>
        <w:tc>
          <w:tcPr>
            <w:tcW w:w="971" w:type="dxa"/>
            <w:tcBorders>
              <w:top w:val="single" w:sz="4" w:space="0" w:color="000000"/>
              <w:left w:val="nil"/>
              <w:bottom w:val="nil"/>
              <w:right w:val="nil"/>
            </w:tcBorders>
            <w:shd w:val="clear" w:color="auto" w:fill="auto"/>
            <w:noWrap/>
            <w:vAlign w:val="bottom"/>
            <w:hideMark/>
          </w:tcPr>
          <w:p w:rsidR="00D6263E" w:rsidRPr="00901FD0" w:rsidRDefault="00D6263E" w:rsidP="00D6263E">
            <w:pPr>
              <w:spacing w:after="0" w:line="240" w:lineRule="auto"/>
              <w:jc w:val="right"/>
              <w:rPr>
                <w:rFonts w:ascii="Calibri" w:eastAsia="Times New Roman" w:hAnsi="Calibri" w:cs="Calibri"/>
                <w:color w:val="000000"/>
              </w:rPr>
            </w:pPr>
            <w:r w:rsidRPr="00901FD0">
              <w:rPr>
                <w:rFonts w:ascii="Calibri" w:eastAsia="Times New Roman" w:hAnsi="Calibri" w:cs="Calibri"/>
                <w:color w:val="000000"/>
              </w:rPr>
              <w:t>0.00151</w:t>
            </w:r>
          </w:p>
        </w:tc>
        <w:tc>
          <w:tcPr>
            <w:tcW w:w="971" w:type="dxa"/>
            <w:tcBorders>
              <w:top w:val="single" w:sz="4" w:space="0" w:color="000000"/>
              <w:left w:val="nil"/>
              <w:bottom w:val="nil"/>
              <w:right w:val="single" w:sz="4" w:space="0" w:color="000000"/>
            </w:tcBorders>
            <w:shd w:val="clear" w:color="auto" w:fill="auto"/>
            <w:noWrap/>
            <w:vAlign w:val="bottom"/>
            <w:hideMark/>
          </w:tcPr>
          <w:p w:rsidR="00D6263E" w:rsidRPr="00901FD0" w:rsidRDefault="00D6263E" w:rsidP="00D6263E">
            <w:pPr>
              <w:spacing w:after="0" w:line="240" w:lineRule="auto"/>
              <w:jc w:val="right"/>
              <w:rPr>
                <w:rFonts w:ascii="Calibri" w:eastAsia="Times New Roman" w:hAnsi="Calibri" w:cs="Calibri"/>
                <w:color w:val="000000"/>
              </w:rPr>
            </w:pPr>
            <w:r w:rsidRPr="00901FD0">
              <w:rPr>
                <w:rFonts w:ascii="Calibri" w:eastAsia="Times New Roman" w:hAnsi="Calibri" w:cs="Calibri"/>
                <w:color w:val="000000"/>
              </w:rPr>
              <w:t>0.00234</w:t>
            </w:r>
          </w:p>
        </w:tc>
      </w:tr>
      <w:tr w:rsidR="00D6263E" w:rsidRPr="00901FD0" w:rsidTr="00D6263E">
        <w:trPr>
          <w:trHeight w:val="288"/>
        </w:trPr>
        <w:tc>
          <w:tcPr>
            <w:tcW w:w="749" w:type="dxa"/>
            <w:tcBorders>
              <w:top w:val="single" w:sz="4" w:space="0" w:color="000000"/>
              <w:left w:val="single" w:sz="4" w:space="0" w:color="000000"/>
              <w:bottom w:val="single" w:sz="4" w:space="0" w:color="000000"/>
              <w:right w:val="nil"/>
            </w:tcBorders>
            <w:shd w:val="clear" w:color="auto" w:fill="auto"/>
            <w:noWrap/>
            <w:vAlign w:val="bottom"/>
            <w:hideMark/>
          </w:tcPr>
          <w:p w:rsidR="00D6263E" w:rsidRPr="00901FD0" w:rsidRDefault="00D6263E" w:rsidP="00D6263E">
            <w:pPr>
              <w:spacing w:after="0" w:line="240" w:lineRule="auto"/>
              <w:rPr>
                <w:rFonts w:ascii="Calibri" w:eastAsia="Times New Roman" w:hAnsi="Calibri" w:cs="Calibri"/>
                <w:b/>
                <w:bCs/>
                <w:color w:val="000000"/>
              </w:rPr>
            </w:pPr>
            <w:r w:rsidRPr="00901FD0">
              <w:rPr>
                <w:rFonts w:ascii="Calibri" w:eastAsia="Times New Roman" w:hAnsi="Calibri" w:cs="Calibri"/>
                <w:b/>
                <w:bCs/>
                <w:color w:val="000000"/>
              </w:rPr>
              <w:t>Beta</w:t>
            </w:r>
          </w:p>
        </w:tc>
        <w:tc>
          <w:tcPr>
            <w:tcW w:w="971" w:type="dxa"/>
            <w:tcBorders>
              <w:top w:val="single" w:sz="4" w:space="0" w:color="000000"/>
              <w:left w:val="nil"/>
              <w:bottom w:val="single" w:sz="4" w:space="0" w:color="000000"/>
              <w:right w:val="nil"/>
            </w:tcBorders>
            <w:shd w:val="clear" w:color="auto" w:fill="auto"/>
            <w:noWrap/>
            <w:vAlign w:val="bottom"/>
            <w:hideMark/>
          </w:tcPr>
          <w:p w:rsidR="00D6263E" w:rsidRPr="00901FD0" w:rsidRDefault="00D6263E" w:rsidP="00D6263E">
            <w:pPr>
              <w:spacing w:after="0" w:line="240" w:lineRule="auto"/>
              <w:jc w:val="right"/>
              <w:rPr>
                <w:rFonts w:ascii="Calibri" w:eastAsia="Times New Roman" w:hAnsi="Calibri" w:cs="Calibri"/>
                <w:color w:val="000000"/>
              </w:rPr>
            </w:pPr>
            <w:r w:rsidRPr="00901FD0">
              <w:rPr>
                <w:rFonts w:ascii="Calibri" w:eastAsia="Times New Roman" w:hAnsi="Calibri" w:cs="Calibri"/>
                <w:color w:val="000000"/>
              </w:rPr>
              <w:t>0.3809</w:t>
            </w:r>
          </w:p>
        </w:tc>
        <w:tc>
          <w:tcPr>
            <w:tcW w:w="971" w:type="dxa"/>
            <w:tcBorders>
              <w:top w:val="single" w:sz="4" w:space="0" w:color="000000"/>
              <w:left w:val="nil"/>
              <w:bottom w:val="single" w:sz="4" w:space="0" w:color="000000"/>
              <w:right w:val="nil"/>
            </w:tcBorders>
            <w:shd w:val="clear" w:color="auto" w:fill="auto"/>
            <w:noWrap/>
            <w:vAlign w:val="bottom"/>
            <w:hideMark/>
          </w:tcPr>
          <w:p w:rsidR="00D6263E" w:rsidRPr="00901FD0" w:rsidRDefault="00D6263E" w:rsidP="00D6263E">
            <w:pPr>
              <w:spacing w:after="0" w:line="240" w:lineRule="auto"/>
              <w:jc w:val="right"/>
              <w:rPr>
                <w:rFonts w:ascii="Calibri" w:eastAsia="Times New Roman" w:hAnsi="Calibri" w:cs="Calibri"/>
                <w:color w:val="000000"/>
              </w:rPr>
            </w:pPr>
            <w:r w:rsidRPr="00901FD0">
              <w:rPr>
                <w:rFonts w:ascii="Calibri" w:eastAsia="Times New Roman" w:hAnsi="Calibri" w:cs="Calibri"/>
                <w:color w:val="000000"/>
              </w:rPr>
              <w:t>0.3732</w:t>
            </w:r>
          </w:p>
        </w:tc>
        <w:tc>
          <w:tcPr>
            <w:tcW w:w="971" w:type="dxa"/>
            <w:tcBorders>
              <w:top w:val="single" w:sz="4" w:space="0" w:color="000000"/>
              <w:left w:val="nil"/>
              <w:bottom w:val="single" w:sz="4" w:space="0" w:color="000000"/>
              <w:right w:val="nil"/>
            </w:tcBorders>
            <w:shd w:val="clear" w:color="auto" w:fill="auto"/>
            <w:noWrap/>
            <w:vAlign w:val="bottom"/>
            <w:hideMark/>
          </w:tcPr>
          <w:p w:rsidR="00D6263E" w:rsidRPr="00901FD0" w:rsidRDefault="00D6263E" w:rsidP="00D6263E">
            <w:pPr>
              <w:spacing w:after="0" w:line="240" w:lineRule="auto"/>
              <w:jc w:val="right"/>
              <w:rPr>
                <w:rFonts w:ascii="Calibri" w:eastAsia="Times New Roman" w:hAnsi="Calibri" w:cs="Calibri"/>
                <w:color w:val="000000"/>
              </w:rPr>
            </w:pPr>
            <w:r w:rsidRPr="00901FD0">
              <w:rPr>
                <w:rFonts w:ascii="Calibri" w:eastAsia="Times New Roman" w:hAnsi="Calibri" w:cs="Calibri"/>
                <w:color w:val="000000"/>
              </w:rPr>
              <w:t>0.3650</w:t>
            </w:r>
          </w:p>
        </w:tc>
        <w:tc>
          <w:tcPr>
            <w:tcW w:w="971" w:type="dxa"/>
            <w:tcBorders>
              <w:top w:val="single" w:sz="4" w:space="0" w:color="000000"/>
              <w:left w:val="nil"/>
              <w:bottom w:val="single" w:sz="4" w:space="0" w:color="000000"/>
              <w:right w:val="nil"/>
            </w:tcBorders>
            <w:shd w:val="clear" w:color="auto" w:fill="auto"/>
            <w:noWrap/>
            <w:vAlign w:val="bottom"/>
            <w:hideMark/>
          </w:tcPr>
          <w:p w:rsidR="00D6263E" w:rsidRPr="00901FD0" w:rsidRDefault="00D6263E" w:rsidP="00D6263E">
            <w:pPr>
              <w:spacing w:after="0" w:line="240" w:lineRule="auto"/>
              <w:jc w:val="right"/>
              <w:rPr>
                <w:rFonts w:ascii="Calibri" w:eastAsia="Times New Roman" w:hAnsi="Calibri" w:cs="Calibri"/>
                <w:color w:val="000000"/>
              </w:rPr>
            </w:pPr>
            <w:r w:rsidRPr="00901FD0">
              <w:rPr>
                <w:rFonts w:ascii="Calibri" w:eastAsia="Times New Roman" w:hAnsi="Calibri" w:cs="Calibri"/>
                <w:color w:val="000000"/>
              </w:rPr>
              <w:t>0.3669</w:t>
            </w:r>
          </w:p>
        </w:tc>
        <w:tc>
          <w:tcPr>
            <w:tcW w:w="971" w:type="dxa"/>
            <w:tcBorders>
              <w:top w:val="single" w:sz="4" w:space="0" w:color="000000"/>
              <w:left w:val="nil"/>
              <w:bottom w:val="single" w:sz="4" w:space="0" w:color="000000"/>
              <w:right w:val="single" w:sz="4" w:space="0" w:color="000000"/>
            </w:tcBorders>
            <w:shd w:val="clear" w:color="auto" w:fill="auto"/>
            <w:noWrap/>
            <w:vAlign w:val="bottom"/>
            <w:hideMark/>
          </w:tcPr>
          <w:p w:rsidR="00D6263E" w:rsidRPr="00901FD0" w:rsidRDefault="00D6263E" w:rsidP="00D6263E">
            <w:pPr>
              <w:spacing w:after="0" w:line="240" w:lineRule="auto"/>
              <w:jc w:val="right"/>
              <w:rPr>
                <w:rFonts w:ascii="Calibri" w:eastAsia="Times New Roman" w:hAnsi="Calibri" w:cs="Calibri"/>
                <w:color w:val="000000"/>
              </w:rPr>
            </w:pPr>
            <w:r w:rsidRPr="00901FD0">
              <w:rPr>
                <w:rFonts w:ascii="Calibri" w:eastAsia="Times New Roman" w:hAnsi="Calibri" w:cs="Calibri"/>
                <w:color w:val="000000"/>
              </w:rPr>
              <w:t>0.3900</w:t>
            </w:r>
          </w:p>
        </w:tc>
      </w:tr>
    </w:tbl>
    <w:p w:rsidR="000C5A3F" w:rsidRDefault="0066467F" w:rsidP="00511E76">
      <w:pPr>
        <w:spacing w:line="480" w:lineRule="auto"/>
        <w:jc w:val="both"/>
        <w:rPr>
          <w:sz w:val="24"/>
        </w:rPr>
      </w:pPr>
      <w:r>
        <w:rPr>
          <w:sz w:val="24"/>
        </w:rPr>
        <w:t xml:space="preserve">The Capital Asset Pricing Model (CAPM) is a model that </w:t>
      </w:r>
      <w:r w:rsidRPr="0066467F">
        <w:rPr>
          <w:sz w:val="24"/>
        </w:rPr>
        <w:t>estimates the return of an asset based on the return of the market</w:t>
      </w:r>
      <w:r w:rsidR="00936876">
        <w:rPr>
          <w:sz w:val="24"/>
        </w:rPr>
        <w:t>.</w:t>
      </w:r>
      <w:r w:rsidRPr="0066467F">
        <w:rPr>
          <w:sz w:val="24"/>
        </w:rPr>
        <w:t xml:space="preserve"> </w:t>
      </w:r>
      <w:r w:rsidR="00936876">
        <w:rPr>
          <w:sz w:val="24"/>
        </w:rPr>
        <w:t>That</w:t>
      </w:r>
      <w:r w:rsidRPr="0066467F">
        <w:rPr>
          <w:sz w:val="24"/>
        </w:rPr>
        <w:t xml:space="preserve"> asset’s linear relationship to the return of the market</w:t>
      </w:r>
      <w:r w:rsidR="00936876">
        <w:rPr>
          <w:sz w:val="24"/>
        </w:rPr>
        <w:t xml:space="preserve"> is referred to as the stock’s beta coefficient</w:t>
      </w:r>
      <w:r w:rsidRPr="0066467F">
        <w:rPr>
          <w:sz w:val="24"/>
        </w:rPr>
        <w:t xml:space="preserve">. </w:t>
      </w:r>
      <w:r w:rsidR="000C5A3F">
        <w:rPr>
          <w:sz w:val="24"/>
        </w:rPr>
        <w:t xml:space="preserve">The excess returns of the ETFs and market indexes were used to estimate the alphas and betas of the ETFs. Alpha and beta measure the risk and volatility of a security, or fund compared to that of a benchmark. Alpha </w:t>
      </w:r>
      <w:r w:rsidR="00C80018">
        <w:rPr>
          <w:sz w:val="24"/>
        </w:rPr>
        <w:t>observes</w:t>
      </w:r>
      <w:r w:rsidR="000C5A3F">
        <w:rPr>
          <w:sz w:val="24"/>
        </w:rPr>
        <w:t xml:space="preserve"> </w:t>
      </w:r>
      <w:r w:rsidR="00C80018">
        <w:rPr>
          <w:sz w:val="24"/>
        </w:rPr>
        <w:t xml:space="preserve">the performance of the asset, while beta </w:t>
      </w:r>
      <w:r w:rsidR="00F65E8D">
        <w:rPr>
          <w:sz w:val="24"/>
        </w:rPr>
        <w:t>observes the level of inherent risk</w:t>
      </w:r>
      <w:r w:rsidR="00C80018">
        <w:rPr>
          <w:sz w:val="24"/>
        </w:rPr>
        <w:t xml:space="preserve"> when comparing it to the Capital Asset Pricing Model. </w:t>
      </w:r>
    </w:p>
    <w:p w:rsidR="00901FD0" w:rsidRDefault="00901FD0" w:rsidP="00511E76">
      <w:pPr>
        <w:spacing w:line="480" w:lineRule="auto"/>
        <w:jc w:val="both"/>
        <w:rPr>
          <w:sz w:val="24"/>
        </w:rPr>
      </w:pPr>
    </w:p>
    <w:p w:rsidR="00901FD0" w:rsidRDefault="00901FD0" w:rsidP="00511E76">
      <w:pPr>
        <w:spacing w:line="480" w:lineRule="auto"/>
        <w:jc w:val="both"/>
        <w:rPr>
          <w:sz w:val="24"/>
        </w:rPr>
      </w:pPr>
    </w:p>
    <w:p w:rsidR="00901FD0" w:rsidRDefault="00901FD0" w:rsidP="00511E76">
      <w:pPr>
        <w:spacing w:line="480" w:lineRule="auto"/>
        <w:jc w:val="both"/>
        <w:rPr>
          <w:sz w:val="24"/>
        </w:rPr>
      </w:pPr>
      <w:r>
        <w:rPr>
          <w:sz w:val="24"/>
        </w:rPr>
        <w:t xml:space="preserve">The observations indicate that iShares U.S Technology ETF (IYW) </w:t>
      </w:r>
      <w:r w:rsidR="00461B42">
        <w:rPr>
          <w:sz w:val="24"/>
        </w:rPr>
        <w:t xml:space="preserve">had the highest alpha and beta. This tells us that, IYW’s returns were more volatile than the other ETFs that were compared. In addition, IYW’s alpha shows that it outperformed the DJUSTC and is also greater than the other ETFs due to the higher level of risk that IYW assumed. </w:t>
      </w:r>
    </w:p>
    <w:p w:rsidR="000C5A3F" w:rsidRDefault="002C7C2D" w:rsidP="00FC43AD">
      <w:pPr>
        <w:spacing w:line="480" w:lineRule="auto"/>
        <w:rPr>
          <w:sz w:val="24"/>
        </w:rPr>
      </w:pPr>
      <w:r>
        <w:rPr>
          <w:noProof/>
        </w:rPr>
        <w:drawing>
          <wp:anchor distT="0" distB="0" distL="114300" distR="114300" simplePos="0" relativeHeight="251658240" behindDoc="1" locked="0" layoutInCell="1" allowOverlap="1">
            <wp:simplePos x="0" y="0"/>
            <wp:positionH relativeFrom="column">
              <wp:posOffset>1336887</wp:posOffset>
            </wp:positionH>
            <wp:positionV relativeFrom="paragraph">
              <wp:posOffset>-271780</wp:posOffset>
            </wp:positionV>
            <wp:extent cx="3090334" cy="2781498"/>
            <wp:effectExtent l="0" t="0" r="0" b="0"/>
            <wp:wrapTight wrapText="bothSides">
              <wp:wrapPolygon edited="0">
                <wp:start x="0" y="0"/>
                <wp:lineTo x="0" y="21452"/>
                <wp:lineTo x="21440" y="21452"/>
                <wp:lineTo x="2144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0334" cy="278149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44FD" w:rsidRDefault="006544FD" w:rsidP="00214540">
      <w:pPr>
        <w:spacing w:line="480" w:lineRule="auto"/>
      </w:pPr>
    </w:p>
    <w:p w:rsidR="006544FD" w:rsidRDefault="006544FD" w:rsidP="00540985">
      <w:pPr>
        <w:spacing w:line="480" w:lineRule="auto"/>
        <w:jc w:val="center"/>
      </w:pPr>
    </w:p>
    <w:p w:rsidR="00936876" w:rsidRDefault="00936876" w:rsidP="00540985">
      <w:pPr>
        <w:spacing w:line="480" w:lineRule="auto"/>
        <w:jc w:val="center"/>
      </w:pPr>
    </w:p>
    <w:p w:rsidR="00936876" w:rsidRDefault="00936876" w:rsidP="00540985">
      <w:pPr>
        <w:spacing w:line="480" w:lineRule="auto"/>
        <w:jc w:val="center"/>
      </w:pPr>
    </w:p>
    <w:p w:rsidR="00936876" w:rsidRDefault="00936876" w:rsidP="00540985">
      <w:pPr>
        <w:spacing w:line="480" w:lineRule="auto"/>
        <w:jc w:val="center"/>
      </w:pPr>
    </w:p>
    <w:p w:rsidR="00936876" w:rsidRDefault="00936876" w:rsidP="00936876">
      <w:pPr>
        <w:spacing w:line="480" w:lineRule="auto"/>
        <w:rPr>
          <w:b/>
          <w:u w:val="single"/>
        </w:rPr>
      </w:pPr>
      <w:r w:rsidRPr="00936876">
        <w:rPr>
          <w:b/>
          <w:sz w:val="24"/>
          <w:u w:val="single"/>
        </w:rPr>
        <w:lastRenderedPageBreak/>
        <w:t>Evaluating the Model</w:t>
      </w:r>
    </w:p>
    <w:p w:rsidR="008D596A" w:rsidRDefault="00BA3BDC" w:rsidP="00511E76">
      <w:pPr>
        <w:spacing w:line="480" w:lineRule="auto"/>
        <w:jc w:val="both"/>
      </w:pPr>
      <w:r w:rsidRPr="005F009F">
        <w:drawing>
          <wp:anchor distT="0" distB="0" distL="114300" distR="114300" simplePos="0" relativeHeight="251659264" behindDoc="1" locked="0" layoutInCell="1" allowOverlap="1">
            <wp:simplePos x="0" y="0"/>
            <wp:positionH relativeFrom="column">
              <wp:posOffset>168275</wp:posOffset>
            </wp:positionH>
            <wp:positionV relativeFrom="paragraph">
              <wp:posOffset>2934970</wp:posOffset>
            </wp:positionV>
            <wp:extent cx="5570855" cy="3183255"/>
            <wp:effectExtent l="0" t="0" r="0" b="0"/>
            <wp:wrapTight wrapText="bothSides">
              <wp:wrapPolygon edited="0">
                <wp:start x="0" y="0"/>
                <wp:lineTo x="0" y="21458"/>
                <wp:lineTo x="19278" y="21458"/>
                <wp:lineTo x="19278" y="20682"/>
                <wp:lineTo x="20977" y="20682"/>
                <wp:lineTo x="21494" y="20165"/>
                <wp:lineTo x="21494" y="17580"/>
                <wp:lineTo x="21199" y="17321"/>
                <wp:lineTo x="19278" y="16546"/>
                <wp:lineTo x="21420" y="16546"/>
                <wp:lineTo x="21494" y="16417"/>
                <wp:lineTo x="2149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0855" cy="3183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5DBE">
        <w:t xml:space="preserve">Analysis of Variance (ANOVA) is a statistical method used to test </w:t>
      </w:r>
      <w:r w:rsidR="00764DC7">
        <w:t>the difference</w:t>
      </w:r>
      <w:r w:rsidR="008D596A">
        <w:t xml:space="preserve"> between </w:t>
      </w:r>
      <w:r w:rsidR="00764DC7">
        <w:t>means</w:t>
      </w:r>
      <w:r w:rsidR="008D596A">
        <w:t xml:space="preserve">. There are three types of ANOVA tests. The one-way ANOVA test has one independent variable and one dependent variable. The Two-way ANOVA has one dependent variable and two independent variables. The N-way ANOVA observes more than two independent variables. The single-factor model of excess returns of an ETF regressed on the excess returns of a market index was observed by using the one-way ANOVA test. </w:t>
      </w:r>
      <w:r w:rsidR="00894938">
        <w:t xml:space="preserve">The test makes three general assumptions. Firstly, it assumes that the population of samples tested are normally distributed. Secondly, sample cases are independent of each other. Lastly, it assumes that the variance among the groups should be approximately equal. </w:t>
      </w:r>
    </w:p>
    <w:p w:rsidR="00C73C45" w:rsidRDefault="00C73C45" w:rsidP="00511E76">
      <w:pPr>
        <w:spacing w:line="480" w:lineRule="auto"/>
        <w:jc w:val="both"/>
      </w:pPr>
    </w:p>
    <w:p w:rsidR="00511E76" w:rsidRDefault="00511E76" w:rsidP="005076BC">
      <w:pPr>
        <w:spacing w:line="480" w:lineRule="auto"/>
        <w:jc w:val="center"/>
      </w:pPr>
    </w:p>
    <w:p w:rsidR="0060067F" w:rsidRDefault="0060067F" w:rsidP="00511E76">
      <w:pPr>
        <w:spacing w:line="480" w:lineRule="auto"/>
        <w:jc w:val="both"/>
      </w:pPr>
    </w:p>
    <w:p w:rsidR="0060067F" w:rsidRDefault="00BA3BDC" w:rsidP="00511E76">
      <w:pPr>
        <w:spacing w:line="480" w:lineRule="auto"/>
        <w:jc w:val="both"/>
      </w:pPr>
      <w:r>
        <w:lastRenderedPageBreak/>
        <w:t>Based on the ANOVA table,</w:t>
      </w:r>
      <w:r w:rsidR="005076BC">
        <w:t xml:space="preserve"> the variability in the excess returns are significantly different for each ETF case.</w:t>
      </w:r>
      <w:r w:rsidR="0060067F">
        <w:t xml:space="preserve"> </w:t>
      </w:r>
      <w:r>
        <w:t xml:space="preserve">The probability of getting the F-values </w:t>
      </w:r>
      <w:r w:rsidR="005076BC">
        <w:t xml:space="preserve">or a more extreme value, if the null hypothesis is true, is very small. Therefore, we reject the null hypothesis, which assumes that the means are equal. </w:t>
      </w:r>
    </w:p>
    <w:p w:rsidR="0060067F" w:rsidRDefault="0060067F" w:rsidP="0060067F">
      <w:pPr>
        <w:spacing w:line="480" w:lineRule="auto"/>
        <w:jc w:val="center"/>
      </w:pPr>
      <w:r w:rsidRPr="005076BC">
        <w:drawing>
          <wp:inline distT="0" distB="0" distL="0" distR="0" wp14:anchorId="382B7A93" wp14:editId="770A3975">
            <wp:extent cx="4292600" cy="6731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040" cy="678049"/>
                    </a:xfrm>
                    <a:prstGeom prst="rect">
                      <a:avLst/>
                    </a:prstGeom>
                    <a:noFill/>
                    <a:ln>
                      <a:noFill/>
                    </a:ln>
                  </pic:spPr>
                </pic:pic>
              </a:graphicData>
            </a:graphic>
          </wp:inline>
        </w:drawing>
      </w:r>
    </w:p>
    <w:p w:rsidR="005076BC" w:rsidRDefault="005076BC" w:rsidP="00511E76">
      <w:pPr>
        <w:spacing w:line="480" w:lineRule="auto"/>
        <w:jc w:val="both"/>
      </w:pPr>
      <w:r>
        <w:t xml:space="preserve">In addition, we observed the R-Squared values for each Model to determine good-fit. </w:t>
      </w:r>
      <w:r w:rsidR="0060067F" w:rsidRPr="0060067F">
        <w:t>R-squared is a statistical measure of how close the data are to the fitted regression line. In general, the higher the R-squared, the better the model fits your data.</w:t>
      </w:r>
      <w:r w:rsidR="0060067F">
        <w:t xml:space="preserve"> For instance, </w:t>
      </w:r>
      <w:r w:rsidR="0060067F" w:rsidRPr="0060067F">
        <w:t>100% indicates that the model explains all the variability of the response data around its mean</w:t>
      </w:r>
      <w:r w:rsidR="0060067F">
        <w:t xml:space="preserve">. On the other hand, </w:t>
      </w:r>
      <w:r w:rsidR="0060067F">
        <w:t>0% indicates that the model explains none of the variability of the response data around its mean.</w:t>
      </w:r>
      <w:r w:rsidR="0060067F">
        <w:t xml:space="preserve"> </w:t>
      </w:r>
      <w:r>
        <w:t>Based on the ratios, we see that they are below 20%.</w:t>
      </w:r>
      <w:r w:rsidR="0060067F">
        <w:t xml:space="preserve"> One observation that may cause a low percentage is the outliers in the data. Between December 2015 and January 2016, the Federal Reserve increased rates for the first time since they initiated Quantitative Easing. This increased volatility in the returns of equities for that period, including ETFs. This analysis tells us that it ca</w:t>
      </w:r>
      <w:r w:rsidR="0060738C">
        <w:t xml:space="preserve">nnot describe the data appropriately. Hence, the model is not a good fit for the data that is used. </w:t>
      </w:r>
      <w:r w:rsidR="0060067F">
        <w:t xml:space="preserve"> </w:t>
      </w:r>
    </w:p>
    <w:p w:rsidR="00BA3BDC" w:rsidRDefault="00BA3BDC" w:rsidP="00511E76">
      <w:pPr>
        <w:spacing w:line="480" w:lineRule="auto"/>
        <w:jc w:val="both"/>
      </w:pPr>
    </w:p>
    <w:p w:rsidR="00BA3BDC" w:rsidRDefault="00BA3BDC" w:rsidP="00511E76">
      <w:pPr>
        <w:spacing w:line="480" w:lineRule="auto"/>
        <w:jc w:val="both"/>
      </w:pPr>
    </w:p>
    <w:p w:rsidR="00BA3BDC" w:rsidRDefault="00BA3BDC" w:rsidP="00511E76">
      <w:pPr>
        <w:spacing w:line="480" w:lineRule="auto"/>
        <w:jc w:val="both"/>
      </w:pPr>
    </w:p>
    <w:p w:rsidR="00BA3BDC" w:rsidRDefault="00BA3BDC" w:rsidP="00511E76">
      <w:pPr>
        <w:spacing w:line="480" w:lineRule="auto"/>
        <w:jc w:val="both"/>
      </w:pPr>
    </w:p>
    <w:p w:rsidR="00BA3BDC" w:rsidRDefault="00BA3BDC" w:rsidP="00511E76">
      <w:pPr>
        <w:spacing w:line="480" w:lineRule="auto"/>
        <w:jc w:val="both"/>
      </w:pPr>
    </w:p>
    <w:p w:rsidR="00BA3BDC" w:rsidRPr="008D596A" w:rsidRDefault="00BA3BDC" w:rsidP="00511E76">
      <w:pPr>
        <w:spacing w:line="480" w:lineRule="auto"/>
        <w:jc w:val="both"/>
      </w:pPr>
      <w:bookmarkStart w:id="0" w:name="_GoBack"/>
      <w:bookmarkEnd w:id="0"/>
    </w:p>
    <w:sectPr w:rsidR="00BA3BDC" w:rsidRPr="008D5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437E6A"/>
    <w:multiLevelType w:val="hybridMultilevel"/>
    <w:tmpl w:val="6206FB18"/>
    <w:lvl w:ilvl="0" w:tplc="B55644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33"/>
    <w:rsid w:val="00011D9C"/>
    <w:rsid w:val="000B27C7"/>
    <w:rsid w:val="000C5A3F"/>
    <w:rsid w:val="00127132"/>
    <w:rsid w:val="001E1E20"/>
    <w:rsid w:val="00214540"/>
    <w:rsid w:val="002C7C2D"/>
    <w:rsid w:val="003A7FD7"/>
    <w:rsid w:val="00461B42"/>
    <w:rsid w:val="005076BC"/>
    <w:rsid w:val="00511E76"/>
    <w:rsid w:val="00540985"/>
    <w:rsid w:val="005654AA"/>
    <w:rsid w:val="005F009F"/>
    <w:rsid w:val="0060067F"/>
    <w:rsid w:val="0060738C"/>
    <w:rsid w:val="0063659D"/>
    <w:rsid w:val="006544FD"/>
    <w:rsid w:val="0066467F"/>
    <w:rsid w:val="006C00B2"/>
    <w:rsid w:val="006F0232"/>
    <w:rsid w:val="00730FFC"/>
    <w:rsid w:val="00764DC7"/>
    <w:rsid w:val="007A4F9D"/>
    <w:rsid w:val="00823DDB"/>
    <w:rsid w:val="00894938"/>
    <w:rsid w:val="00896783"/>
    <w:rsid w:val="008D596A"/>
    <w:rsid w:val="00901FD0"/>
    <w:rsid w:val="00936876"/>
    <w:rsid w:val="009F552E"/>
    <w:rsid w:val="00BA3BDC"/>
    <w:rsid w:val="00C73C45"/>
    <w:rsid w:val="00C80018"/>
    <w:rsid w:val="00D41239"/>
    <w:rsid w:val="00D6263E"/>
    <w:rsid w:val="00D96B33"/>
    <w:rsid w:val="00EA4263"/>
    <w:rsid w:val="00EC194D"/>
    <w:rsid w:val="00F35DBE"/>
    <w:rsid w:val="00F65E8D"/>
    <w:rsid w:val="00FC4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2ED1"/>
  <w15:chartTrackingRefBased/>
  <w15:docId w15:val="{756B98FC-6961-4745-9858-B17F4DB33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FFC"/>
    <w:pPr>
      <w:ind w:left="720"/>
      <w:contextualSpacing/>
    </w:pPr>
  </w:style>
  <w:style w:type="character" w:styleId="PlaceholderText">
    <w:name w:val="Placeholder Text"/>
    <w:basedOn w:val="DefaultParagraphFont"/>
    <w:uiPriority w:val="99"/>
    <w:semiHidden/>
    <w:rsid w:val="007A4F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4868">
      <w:bodyDiv w:val="1"/>
      <w:marLeft w:val="0"/>
      <w:marRight w:val="0"/>
      <w:marTop w:val="0"/>
      <w:marBottom w:val="0"/>
      <w:divBdr>
        <w:top w:val="none" w:sz="0" w:space="0" w:color="auto"/>
        <w:left w:val="none" w:sz="0" w:space="0" w:color="auto"/>
        <w:bottom w:val="none" w:sz="0" w:space="0" w:color="auto"/>
        <w:right w:val="none" w:sz="0" w:space="0" w:color="auto"/>
      </w:divBdr>
    </w:div>
    <w:div w:id="149443053">
      <w:bodyDiv w:val="1"/>
      <w:marLeft w:val="0"/>
      <w:marRight w:val="0"/>
      <w:marTop w:val="0"/>
      <w:marBottom w:val="0"/>
      <w:divBdr>
        <w:top w:val="none" w:sz="0" w:space="0" w:color="auto"/>
        <w:left w:val="none" w:sz="0" w:space="0" w:color="auto"/>
        <w:bottom w:val="none" w:sz="0" w:space="0" w:color="auto"/>
        <w:right w:val="none" w:sz="0" w:space="0" w:color="auto"/>
      </w:divBdr>
    </w:div>
    <w:div w:id="271324015">
      <w:bodyDiv w:val="1"/>
      <w:marLeft w:val="0"/>
      <w:marRight w:val="0"/>
      <w:marTop w:val="0"/>
      <w:marBottom w:val="0"/>
      <w:divBdr>
        <w:top w:val="none" w:sz="0" w:space="0" w:color="auto"/>
        <w:left w:val="none" w:sz="0" w:space="0" w:color="auto"/>
        <w:bottom w:val="none" w:sz="0" w:space="0" w:color="auto"/>
        <w:right w:val="none" w:sz="0" w:space="0" w:color="auto"/>
      </w:divBdr>
    </w:div>
    <w:div w:id="388186334">
      <w:bodyDiv w:val="1"/>
      <w:marLeft w:val="0"/>
      <w:marRight w:val="0"/>
      <w:marTop w:val="0"/>
      <w:marBottom w:val="0"/>
      <w:divBdr>
        <w:top w:val="none" w:sz="0" w:space="0" w:color="auto"/>
        <w:left w:val="none" w:sz="0" w:space="0" w:color="auto"/>
        <w:bottom w:val="none" w:sz="0" w:space="0" w:color="auto"/>
        <w:right w:val="none" w:sz="0" w:space="0" w:color="auto"/>
      </w:divBdr>
    </w:div>
    <w:div w:id="521019729">
      <w:bodyDiv w:val="1"/>
      <w:marLeft w:val="0"/>
      <w:marRight w:val="0"/>
      <w:marTop w:val="0"/>
      <w:marBottom w:val="0"/>
      <w:divBdr>
        <w:top w:val="none" w:sz="0" w:space="0" w:color="auto"/>
        <w:left w:val="none" w:sz="0" w:space="0" w:color="auto"/>
        <w:bottom w:val="none" w:sz="0" w:space="0" w:color="auto"/>
        <w:right w:val="none" w:sz="0" w:space="0" w:color="auto"/>
      </w:divBdr>
    </w:div>
    <w:div w:id="573123715">
      <w:bodyDiv w:val="1"/>
      <w:marLeft w:val="0"/>
      <w:marRight w:val="0"/>
      <w:marTop w:val="0"/>
      <w:marBottom w:val="0"/>
      <w:divBdr>
        <w:top w:val="none" w:sz="0" w:space="0" w:color="auto"/>
        <w:left w:val="none" w:sz="0" w:space="0" w:color="auto"/>
        <w:bottom w:val="none" w:sz="0" w:space="0" w:color="auto"/>
        <w:right w:val="none" w:sz="0" w:space="0" w:color="auto"/>
      </w:divBdr>
    </w:div>
    <w:div w:id="646132217">
      <w:bodyDiv w:val="1"/>
      <w:marLeft w:val="0"/>
      <w:marRight w:val="0"/>
      <w:marTop w:val="0"/>
      <w:marBottom w:val="0"/>
      <w:divBdr>
        <w:top w:val="none" w:sz="0" w:space="0" w:color="auto"/>
        <w:left w:val="none" w:sz="0" w:space="0" w:color="auto"/>
        <w:bottom w:val="none" w:sz="0" w:space="0" w:color="auto"/>
        <w:right w:val="none" w:sz="0" w:space="0" w:color="auto"/>
      </w:divBdr>
    </w:div>
    <w:div w:id="695884517">
      <w:bodyDiv w:val="1"/>
      <w:marLeft w:val="0"/>
      <w:marRight w:val="0"/>
      <w:marTop w:val="0"/>
      <w:marBottom w:val="0"/>
      <w:divBdr>
        <w:top w:val="none" w:sz="0" w:space="0" w:color="auto"/>
        <w:left w:val="none" w:sz="0" w:space="0" w:color="auto"/>
        <w:bottom w:val="none" w:sz="0" w:space="0" w:color="auto"/>
        <w:right w:val="none" w:sz="0" w:space="0" w:color="auto"/>
      </w:divBdr>
    </w:div>
    <w:div w:id="786780068">
      <w:bodyDiv w:val="1"/>
      <w:marLeft w:val="0"/>
      <w:marRight w:val="0"/>
      <w:marTop w:val="0"/>
      <w:marBottom w:val="0"/>
      <w:divBdr>
        <w:top w:val="none" w:sz="0" w:space="0" w:color="auto"/>
        <w:left w:val="none" w:sz="0" w:space="0" w:color="auto"/>
        <w:bottom w:val="none" w:sz="0" w:space="0" w:color="auto"/>
        <w:right w:val="none" w:sz="0" w:space="0" w:color="auto"/>
      </w:divBdr>
    </w:div>
    <w:div w:id="809905874">
      <w:bodyDiv w:val="1"/>
      <w:marLeft w:val="0"/>
      <w:marRight w:val="0"/>
      <w:marTop w:val="0"/>
      <w:marBottom w:val="0"/>
      <w:divBdr>
        <w:top w:val="none" w:sz="0" w:space="0" w:color="auto"/>
        <w:left w:val="none" w:sz="0" w:space="0" w:color="auto"/>
        <w:bottom w:val="none" w:sz="0" w:space="0" w:color="auto"/>
        <w:right w:val="none" w:sz="0" w:space="0" w:color="auto"/>
      </w:divBdr>
    </w:div>
    <w:div w:id="830557607">
      <w:bodyDiv w:val="1"/>
      <w:marLeft w:val="0"/>
      <w:marRight w:val="0"/>
      <w:marTop w:val="0"/>
      <w:marBottom w:val="0"/>
      <w:divBdr>
        <w:top w:val="none" w:sz="0" w:space="0" w:color="auto"/>
        <w:left w:val="none" w:sz="0" w:space="0" w:color="auto"/>
        <w:bottom w:val="none" w:sz="0" w:space="0" w:color="auto"/>
        <w:right w:val="none" w:sz="0" w:space="0" w:color="auto"/>
      </w:divBdr>
    </w:div>
    <w:div w:id="919217493">
      <w:bodyDiv w:val="1"/>
      <w:marLeft w:val="0"/>
      <w:marRight w:val="0"/>
      <w:marTop w:val="0"/>
      <w:marBottom w:val="0"/>
      <w:divBdr>
        <w:top w:val="none" w:sz="0" w:space="0" w:color="auto"/>
        <w:left w:val="none" w:sz="0" w:space="0" w:color="auto"/>
        <w:bottom w:val="none" w:sz="0" w:space="0" w:color="auto"/>
        <w:right w:val="none" w:sz="0" w:space="0" w:color="auto"/>
      </w:divBdr>
    </w:div>
    <w:div w:id="970329217">
      <w:bodyDiv w:val="1"/>
      <w:marLeft w:val="0"/>
      <w:marRight w:val="0"/>
      <w:marTop w:val="0"/>
      <w:marBottom w:val="0"/>
      <w:divBdr>
        <w:top w:val="none" w:sz="0" w:space="0" w:color="auto"/>
        <w:left w:val="none" w:sz="0" w:space="0" w:color="auto"/>
        <w:bottom w:val="none" w:sz="0" w:space="0" w:color="auto"/>
        <w:right w:val="none" w:sz="0" w:space="0" w:color="auto"/>
      </w:divBdr>
    </w:div>
    <w:div w:id="1005474844">
      <w:bodyDiv w:val="1"/>
      <w:marLeft w:val="0"/>
      <w:marRight w:val="0"/>
      <w:marTop w:val="0"/>
      <w:marBottom w:val="0"/>
      <w:divBdr>
        <w:top w:val="none" w:sz="0" w:space="0" w:color="auto"/>
        <w:left w:val="none" w:sz="0" w:space="0" w:color="auto"/>
        <w:bottom w:val="none" w:sz="0" w:space="0" w:color="auto"/>
        <w:right w:val="none" w:sz="0" w:space="0" w:color="auto"/>
      </w:divBdr>
    </w:div>
    <w:div w:id="1134450113">
      <w:bodyDiv w:val="1"/>
      <w:marLeft w:val="0"/>
      <w:marRight w:val="0"/>
      <w:marTop w:val="0"/>
      <w:marBottom w:val="0"/>
      <w:divBdr>
        <w:top w:val="none" w:sz="0" w:space="0" w:color="auto"/>
        <w:left w:val="none" w:sz="0" w:space="0" w:color="auto"/>
        <w:bottom w:val="none" w:sz="0" w:space="0" w:color="auto"/>
        <w:right w:val="none" w:sz="0" w:space="0" w:color="auto"/>
      </w:divBdr>
    </w:div>
    <w:div w:id="1345932792">
      <w:bodyDiv w:val="1"/>
      <w:marLeft w:val="0"/>
      <w:marRight w:val="0"/>
      <w:marTop w:val="0"/>
      <w:marBottom w:val="0"/>
      <w:divBdr>
        <w:top w:val="none" w:sz="0" w:space="0" w:color="auto"/>
        <w:left w:val="none" w:sz="0" w:space="0" w:color="auto"/>
        <w:bottom w:val="none" w:sz="0" w:space="0" w:color="auto"/>
        <w:right w:val="none" w:sz="0" w:space="0" w:color="auto"/>
      </w:divBdr>
    </w:div>
    <w:div w:id="1385178211">
      <w:bodyDiv w:val="1"/>
      <w:marLeft w:val="0"/>
      <w:marRight w:val="0"/>
      <w:marTop w:val="0"/>
      <w:marBottom w:val="0"/>
      <w:divBdr>
        <w:top w:val="none" w:sz="0" w:space="0" w:color="auto"/>
        <w:left w:val="none" w:sz="0" w:space="0" w:color="auto"/>
        <w:bottom w:val="none" w:sz="0" w:space="0" w:color="auto"/>
        <w:right w:val="none" w:sz="0" w:space="0" w:color="auto"/>
      </w:divBdr>
    </w:div>
    <w:div w:id="1521435280">
      <w:bodyDiv w:val="1"/>
      <w:marLeft w:val="0"/>
      <w:marRight w:val="0"/>
      <w:marTop w:val="0"/>
      <w:marBottom w:val="0"/>
      <w:divBdr>
        <w:top w:val="none" w:sz="0" w:space="0" w:color="auto"/>
        <w:left w:val="none" w:sz="0" w:space="0" w:color="auto"/>
        <w:bottom w:val="none" w:sz="0" w:space="0" w:color="auto"/>
        <w:right w:val="none" w:sz="0" w:space="0" w:color="auto"/>
      </w:divBdr>
    </w:div>
    <w:div w:id="1522011378">
      <w:bodyDiv w:val="1"/>
      <w:marLeft w:val="0"/>
      <w:marRight w:val="0"/>
      <w:marTop w:val="0"/>
      <w:marBottom w:val="0"/>
      <w:divBdr>
        <w:top w:val="none" w:sz="0" w:space="0" w:color="auto"/>
        <w:left w:val="none" w:sz="0" w:space="0" w:color="auto"/>
        <w:bottom w:val="none" w:sz="0" w:space="0" w:color="auto"/>
        <w:right w:val="none" w:sz="0" w:space="0" w:color="auto"/>
      </w:divBdr>
    </w:div>
    <w:div w:id="1522626242">
      <w:bodyDiv w:val="1"/>
      <w:marLeft w:val="0"/>
      <w:marRight w:val="0"/>
      <w:marTop w:val="0"/>
      <w:marBottom w:val="0"/>
      <w:divBdr>
        <w:top w:val="none" w:sz="0" w:space="0" w:color="auto"/>
        <w:left w:val="none" w:sz="0" w:space="0" w:color="auto"/>
        <w:bottom w:val="none" w:sz="0" w:space="0" w:color="auto"/>
        <w:right w:val="none" w:sz="0" w:space="0" w:color="auto"/>
      </w:divBdr>
    </w:div>
    <w:div w:id="1616596664">
      <w:bodyDiv w:val="1"/>
      <w:marLeft w:val="0"/>
      <w:marRight w:val="0"/>
      <w:marTop w:val="0"/>
      <w:marBottom w:val="0"/>
      <w:divBdr>
        <w:top w:val="none" w:sz="0" w:space="0" w:color="auto"/>
        <w:left w:val="none" w:sz="0" w:space="0" w:color="auto"/>
        <w:bottom w:val="none" w:sz="0" w:space="0" w:color="auto"/>
        <w:right w:val="none" w:sz="0" w:space="0" w:color="auto"/>
      </w:divBdr>
    </w:div>
    <w:div w:id="1653677576">
      <w:bodyDiv w:val="1"/>
      <w:marLeft w:val="0"/>
      <w:marRight w:val="0"/>
      <w:marTop w:val="0"/>
      <w:marBottom w:val="0"/>
      <w:divBdr>
        <w:top w:val="none" w:sz="0" w:space="0" w:color="auto"/>
        <w:left w:val="none" w:sz="0" w:space="0" w:color="auto"/>
        <w:bottom w:val="none" w:sz="0" w:space="0" w:color="auto"/>
        <w:right w:val="none" w:sz="0" w:space="0" w:color="auto"/>
      </w:divBdr>
    </w:div>
    <w:div w:id="1729382372">
      <w:bodyDiv w:val="1"/>
      <w:marLeft w:val="0"/>
      <w:marRight w:val="0"/>
      <w:marTop w:val="0"/>
      <w:marBottom w:val="0"/>
      <w:divBdr>
        <w:top w:val="none" w:sz="0" w:space="0" w:color="auto"/>
        <w:left w:val="none" w:sz="0" w:space="0" w:color="auto"/>
        <w:bottom w:val="none" w:sz="0" w:space="0" w:color="auto"/>
        <w:right w:val="none" w:sz="0" w:space="0" w:color="auto"/>
      </w:divBdr>
    </w:div>
    <w:div w:id="1831750905">
      <w:bodyDiv w:val="1"/>
      <w:marLeft w:val="0"/>
      <w:marRight w:val="0"/>
      <w:marTop w:val="0"/>
      <w:marBottom w:val="0"/>
      <w:divBdr>
        <w:top w:val="none" w:sz="0" w:space="0" w:color="auto"/>
        <w:left w:val="none" w:sz="0" w:space="0" w:color="auto"/>
        <w:bottom w:val="none" w:sz="0" w:space="0" w:color="auto"/>
        <w:right w:val="none" w:sz="0" w:space="0" w:color="auto"/>
      </w:divBdr>
    </w:div>
    <w:div w:id="2085760738">
      <w:bodyDiv w:val="1"/>
      <w:marLeft w:val="0"/>
      <w:marRight w:val="0"/>
      <w:marTop w:val="0"/>
      <w:marBottom w:val="0"/>
      <w:divBdr>
        <w:top w:val="none" w:sz="0" w:space="0" w:color="auto"/>
        <w:left w:val="none" w:sz="0" w:space="0" w:color="auto"/>
        <w:bottom w:val="none" w:sz="0" w:space="0" w:color="auto"/>
        <w:right w:val="none" w:sz="0" w:space="0" w:color="auto"/>
      </w:divBdr>
    </w:div>
    <w:div w:id="212330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4590</TotalTime>
  <Pages>4</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Rancharan, Norberto Jemil</dc:creator>
  <cp:keywords/>
  <dc:description/>
  <cp:lastModifiedBy>Rancharan, Norberto Jemil</cp:lastModifiedBy>
  <cp:revision>3</cp:revision>
  <dcterms:created xsi:type="dcterms:W3CDTF">2019-04-30T19:30:00Z</dcterms:created>
  <dcterms:modified xsi:type="dcterms:W3CDTF">2019-05-04T02:26:00Z</dcterms:modified>
</cp:coreProperties>
</file>