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AB6BB" w14:textId="77777777" w:rsidR="00DC289C" w:rsidRDefault="00DC289C" w:rsidP="00DC289C">
      <w:pPr>
        <w:pStyle w:val="Title1"/>
        <w:spacing w:before="180" w:after="140"/>
        <w:jc w:val="center"/>
      </w:pPr>
      <w:r>
        <w:rPr>
          <w:b/>
          <w:sz w:val="36"/>
        </w:rPr>
        <w:t xml:space="preserve">Explainable AI for Cybersecurity: </w:t>
      </w:r>
      <w:r w:rsidRPr="001A06E3">
        <w:rPr>
          <w:b/>
          <w:sz w:val="36"/>
        </w:rPr>
        <w:t>Interpreting Machine Learning Decisions in Intrusion Detection Systems</w:t>
      </w:r>
    </w:p>
    <w:p w14:paraId="0740E02E" w14:textId="77777777" w:rsidR="00DC289C" w:rsidRDefault="00DC289C" w:rsidP="00DC289C">
      <w:pPr>
        <w:spacing w:after="60"/>
        <w:jc w:val="center"/>
      </w:pPr>
      <w:r>
        <w:rPr>
          <w:b/>
          <w:sz w:val="22"/>
        </w:rPr>
        <w:t>Rajat Kumar</w:t>
      </w:r>
      <w:r w:rsidRPr="007164F8">
        <w:rPr>
          <w:b/>
          <w:sz w:val="22"/>
          <w:vertAlign w:val="superscript"/>
        </w:rPr>
        <w:t>@</w:t>
      </w:r>
      <w:r>
        <w:rPr>
          <w:b/>
          <w:sz w:val="22"/>
        </w:rPr>
        <w:t xml:space="preserve"> and Sadhil Madan</w:t>
      </w:r>
      <w:r w:rsidRPr="007164F8">
        <w:rPr>
          <w:b/>
          <w:sz w:val="22"/>
          <w:vertAlign w:val="superscript"/>
        </w:rPr>
        <w:t>#</w:t>
      </w:r>
    </w:p>
    <w:p w14:paraId="5EE4F9AF" w14:textId="2008AEE2" w:rsidR="00DC289C" w:rsidRDefault="00DC289C" w:rsidP="00DC289C">
      <w:pPr>
        <w:spacing w:after="100"/>
        <w:jc w:val="center"/>
        <w:rPr>
          <w:sz w:val="18"/>
        </w:rPr>
      </w:pPr>
      <w:r>
        <w:rPr>
          <w:sz w:val="18"/>
        </w:rPr>
        <w:t>Department of Information Technology,</w:t>
      </w:r>
    </w:p>
    <w:p w14:paraId="114B9887" w14:textId="375320DE" w:rsidR="00DC289C" w:rsidRDefault="00DC289C" w:rsidP="00DC289C">
      <w:pPr>
        <w:spacing w:after="100"/>
        <w:jc w:val="center"/>
        <w:rPr>
          <w:sz w:val="18"/>
        </w:rPr>
      </w:pPr>
      <w:r>
        <w:rPr>
          <w:sz w:val="18"/>
        </w:rPr>
        <w:t xml:space="preserve">K. J. Somaiya School of Engineering, Mumbai, India (formerly known as K. J. </w:t>
      </w:r>
      <w:r w:rsidR="00ED16B5">
        <w:rPr>
          <w:sz w:val="18"/>
        </w:rPr>
        <w:t xml:space="preserve">Somaiya </w:t>
      </w:r>
      <w:r>
        <w:rPr>
          <w:sz w:val="18"/>
        </w:rPr>
        <w:t>College of Engineering)</w:t>
      </w:r>
    </w:p>
    <w:p w14:paraId="6D869FCF" w14:textId="77777777" w:rsidR="00DC289C" w:rsidRPr="00952583" w:rsidRDefault="00DC289C" w:rsidP="00DC289C">
      <w:pPr>
        <w:spacing w:before="40" w:after="60"/>
        <w:jc w:val="center"/>
        <w:rPr>
          <w:sz w:val="18"/>
        </w:rPr>
      </w:pPr>
      <w:r w:rsidRPr="00952583">
        <w:rPr>
          <w:sz w:val="18"/>
        </w:rPr>
        <w:t>@</w:t>
      </w:r>
      <w:r w:rsidRPr="007164F8">
        <w:rPr>
          <w:sz w:val="18"/>
        </w:rPr>
        <w:t>ORCID: 0009-0004-1688-0855</w:t>
      </w:r>
      <w:r>
        <w:rPr>
          <w:sz w:val="18"/>
        </w:rPr>
        <w:t xml:space="preserve">    </w:t>
      </w:r>
      <w:r w:rsidRPr="00952583">
        <w:rPr>
          <w:sz w:val="18"/>
        </w:rPr>
        <w:t>#ORCID: 0009-0001-3944-5459</w:t>
      </w:r>
    </w:p>
    <w:p w14:paraId="0663C3CB" w14:textId="77777777" w:rsidR="00DC289C" w:rsidRDefault="00DC289C" w:rsidP="00DC289C">
      <w:pPr>
        <w:spacing w:before="40" w:after="60"/>
        <w:jc w:val="both"/>
        <w:rPr>
          <w:sz w:val="20"/>
          <w:szCs w:val="28"/>
        </w:rPr>
      </w:pPr>
    </w:p>
    <w:p w14:paraId="33F97A5B" w14:textId="60ADCB79" w:rsidR="00A64370" w:rsidRDefault="00000000" w:rsidP="00DC289C">
      <w:pPr>
        <w:spacing w:before="40" w:after="60"/>
        <w:jc w:val="both"/>
      </w:pPr>
      <w:r w:rsidRPr="00ED16B5">
        <w:rPr>
          <w:b/>
          <w:i/>
          <w:sz w:val="22"/>
          <w:szCs w:val="32"/>
        </w:rPr>
        <w:t>Abstract</w:t>
      </w:r>
      <w:r>
        <w:rPr>
          <w:b/>
        </w:rPr>
        <w:t>—</w:t>
      </w:r>
      <w:r>
        <w:rPr>
          <w:sz w:val="18"/>
        </w:rPr>
        <w:t>An intrusion alert is useful only if an analyst can assess the evidence behind it. We trained Random Forest (RF) and XGBoost (XGB) for binary attack detection on the published UNSW-NB15 training partition and assessed them on its held-out test partition. We then examined SHAP and LIME explanations separately for correct attack detections, correct benign classifications, false alarms, and missed attacks. At the prespecified 0.5 threshold, RF achieved F1=0.9055, recall=0.9818, FPR=0.2287, and ROC-AUC=0.9840. XGB achieved F1=0.8962, recall=0.9833, FPR=0.2587, and ROC-AUC=0.9840. RF produced 1,110 fewer false alarms, whereas XGB detected 65 more attacks. The models shared five attributes in their global SHAP top tens, although their full rankings correlated only moderately. Across outcome groups, median overlap between the five leading SHAP and LIME features ranged from 0.111 to 0.429. TreeSHAP ran faster; XGB's LIME surrogates showed higher fidelity. The disagreement between explainers makes their outputs useful for examining a decision, but insufficient to establish that an alert is correct or that a feature caused an attack.</w:t>
      </w:r>
    </w:p>
    <w:p w14:paraId="04D7BDBE" w14:textId="77777777" w:rsidR="00A64370" w:rsidRDefault="00000000">
      <w:pPr>
        <w:spacing w:after="80"/>
        <w:jc w:val="both"/>
      </w:pPr>
      <w:r w:rsidRPr="00ED16B5">
        <w:rPr>
          <w:b/>
          <w:i/>
          <w:sz w:val="20"/>
          <w:szCs w:val="28"/>
        </w:rPr>
        <w:t>Index Terms</w:t>
      </w:r>
      <w:r>
        <w:rPr>
          <w:b/>
          <w:i/>
          <w:sz w:val="18"/>
        </w:rPr>
        <w:t>—</w:t>
      </w:r>
      <w:r>
        <w:rPr>
          <w:sz w:val="18"/>
        </w:rPr>
        <w:t>cybersecurity, explainable artificial intelligence, intrusion detection system, LIME, SHAP</w:t>
      </w:r>
    </w:p>
    <w:p w14:paraId="6396DCD7" w14:textId="77777777" w:rsidR="00A64370" w:rsidRDefault="00A64370">
      <w:pPr>
        <w:sectPr w:rsidR="00A64370">
          <w:headerReference w:type="default" r:id="rId7"/>
          <w:footerReference w:type="default" r:id="rId8"/>
          <w:type w:val="continuous"/>
          <w:pgSz w:w="12240" w:h="15840" w:code="1"/>
          <w:pgMar w:top="792" w:right="720" w:bottom="792" w:left="720" w:header="360" w:footer="360" w:gutter="0"/>
          <w:cols w:space="288"/>
          <w:docGrid w:linePitch="360"/>
        </w:sectPr>
      </w:pPr>
    </w:p>
    <w:p w14:paraId="2DA31480" w14:textId="77777777" w:rsidR="00A64370" w:rsidRPr="00D778EC" w:rsidRDefault="00000000">
      <w:pPr>
        <w:keepNext/>
        <w:keepLines/>
        <w:spacing w:before="100" w:after="40"/>
        <w:jc w:val="center"/>
        <w:rPr>
          <w:b/>
          <w:bCs/>
        </w:rPr>
      </w:pPr>
      <w:r w:rsidRPr="00D778EC">
        <w:rPr>
          <w:b/>
          <w:bCs/>
          <w:sz w:val="21"/>
        </w:rPr>
        <w:t>I. INTRODUCTION</w:t>
      </w:r>
    </w:p>
    <w:p w14:paraId="645637A8" w14:textId="77777777" w:rsidR="00A64370" w:rsidRDefault="00000000">
      <w:pPr>
        <w:spacing w:after="32" w:line="259" w:lineRule="auto"/>
        <w:ind w:firstLine="259"/>
        <w:jc w:val="both"/>
      </w:pPr>
      <w:r>
        <w:rPr>
          <w:sz w:val="21"/>
        </w:rPr>
        <w:t xml:space="preserve">Intrusion detection systems examine network events for signs of misuse, attack, or policy violation. Machine-learning models extend this task beyond fixed signatures by learning statistical patterns from labelled traffic. This flexibility is valuable when attack </w:t>
      </w:r>
      <w:proofErr w:type="spellStart"/>
      <w:r>
        <w:rPr>
          <w:sz w:val="21"/>
        </w:rPr>
        <w:t>behaviour</w:t>
      </w:r>
      <w:proofErr w:type="spellEnd"/>
      <w:r>
        <w:rPr>
          <w:sz w:val="21"/>
        </w:rPr>
        <w:t xml:space="preserve"> varies, but it also creates an operational problem: a model may label a flow as malicious without giving the analyst a reason that can be checked against the traffic context.</w:t>
      </w:r>
    </w:p>
    <w:p w14:paraId="5AA21AF8" w14:textId="77777777" w:rsidR="00A64370" w:rsidRDefault="00000000">
      <w:pPr>
        <w:spacing w:after="32" w:line="259" w:lineRule="auto"/>
        <w:ind w:firstLine="259"/>
        <w:jc w:val="both"/>
      </w:pPr>
      <w:r>
        <w:rPr>
          <w:sz w:val="21"/>
        </w:rPr>
        <w:t>An unexplained false positive can waste investigation time or encourage alert fatigue. An unexplained false negative is more serious because harmful activity may pass without review. Accuracy alone hides this difference. A useful evaluation must therefore report recall and false-positive rate, preserve the natural test distribution, and examine why correct and incorrect predictions receive their scores.</w:t>
      </w:r>
    </w:p>
    <w:p w14:paraId="17F18E5D" w14:textId="77777777" w:rsidR="00A64370" w:rsidRDefault="00000000">
      <w:pPr>
        <w:spacing w:after="32" w:line="259" w:lineRule="auto"/>
        <w:ind w:firstLine="259"/>
        <w:jc w:val="both"/>
      </w:pPr>
      <w:r>
        <w:rPr>
          <w:sz w:val="21"/>
        </w:rPr>
        <w:t>SHAP and LIME give different views of the same alert. SHAP distributes the difference between a model output and a reference output among the input features [3]. LIME perturbs one flow and fits a simpler model to the resulting predictions [2]. We use both because a feature that appears important under one procedure may not stand out under the other. Their attributions describe the classifier, not the cause of the traffic event. They can also shift when the reference data or perturbation settings change.</w:t>
      </w:r>
    </w:p>
    <w:p w14:paraId="28EF3956" w14:textId="77777777" w:rsidR="00A64370" w:rsidRDefault="00000000">
      <w:pPr>
        <w:spacing w:after="32" w:line="259" w:lineRule="auto"/>
        <w:ind w:firstLine="259"/>
        <w:jc w:val="both"/>
      </w:pPr>
      <w:r>
        <w:rPr>
          <w:sz w:val="21"/>
        </w:rPr>
        <w:t>We compare Random Forest with XGBoost using the same UNSW-NB15 training and test files. After measuring detection performance, we examine explanations for four distinct outcomes: correctly flagged attacks, correctly cleared benign flows, false alarms, and missed attacks. This design lets us ask whether the evidence shown for an error differs from that shown for a correct decision, without treating an explanation as a change to the classifier itself.</w:t>
      </w:r>
    </w:p>
    <w:p w14:paraId="7C7770E1" w14:textId="77777777" w:rsidR="00A64370" w:rsidRDefault="00000000">
      <w:pPr>
        <w:spacing w:after="32" w:line="259" w:lineRule="auto"/>
        <w:ind w:firstLine="259"/>
        <w:jc w:val="both"/>
      </w:pPr>
      <w:r>
        <w:rPr>
          <w:sz w:val="21"/>
        </w:rPr>
        <w:t xml:space="preserve">Here, interpretability has a narrow meaning that we can measure. We look at which network fields an explanation </w:t>
      </w:r>
      <w:r>
        <w:rPr>
          <w:sz w:val="21"/>
        </w:rPr>
        <w:t>highlights, how closely LIME follows the model near a selected flow, how much the result changes over seeded reruns, and how long it takes to compute. A concise plot may help someone inspect an alert, but these measurements cannot tell us whether an analyst understood it or made a better decision. That question needs a study with analysts.</w:t>
      </w:r>
    </w:p>
    <w:p w14:paraId="0D326360" w14:textId="77777777" w:rsidR="00A64370" w:rsidRDefault="00000000">
      <w:pPr>
        <w:spacing w:after="32" w:line="259" w:lineRule="auto"/>
        <w:ind w:firstLine="259"/>
        <w:jc w:val="both"/>
      </w:pPr>
      <w:r>
        <w:rPr>
          <w:sz w:val="21"/>
        </w:rPr>
        <w:t>The comparison uses the complete published test split for detection metrics and a seeded set of cases from each prediction outcome for explanation analysis. We report agreement between SHAP and LIME alongside surrogate fidelity, stability, and runtime. Saved pipelines, figures, case identifiers, and result files link the numbers in this paper to the same experiment run.</w:t>
      </w:r>
    </w:p>
    <w:p w14:paraId="611B0242" w14:textId="77777777" w:rsidR="00A64370" w:rsidRPr="00D778EC" w:rsidRDefault="00000000">
      <w:pPr>
        <w:keepNext/>
        <w:keepLines/>
        <w:spacing w:before="100" w:after="40"/>
        <w:jc w:val="center"/>
        <w:rPr>
          <w:b/>
          <w:bCs/>
        </w:rPr>
      </w:pPr>
      <w:r w:rsidRPr="00D778EC">
        <w:rPr>
          <w:b/>
          <w:bCs/>
          <w:sz w:val="21"/>
        </w:rPr>
        <w:t>II. BACKGROUND AND RELATED WORK</w:t>
      </w:r>
    </w:p>
    <w:p w14:paraId="64329A81" w14:textId="77777777" w:rsidR="00A64370" w:rsidRDefault="00000000">
      <w:pPr>
        <w:keepNext/>
        <w:keepLines/>
        <w:spacing w:before="60" w:after="20"/>
      </w:pPr>
      <w:r>
        <w:rPr>
          <w:b/>
          <w:sz w:val="21"/>
        </w:rPr>
        <w:t>A. Explainability Methods</w:t>
      </w:r>
    </w:p>
    <w:p w14:paraId="045E42B9" w14:textId="77777777" w:rsidR="00A64370" w:rsidRDefault="00000000">
      <w:pPr>
        <w:spacing w:after="32" w:line="259" w:lineRule="auto"/>
        <w:ind w:firstLine="259"/>
        <w:jc w:val="both"/>
      </w:pPr>
      <w:r>
        <w:rPr>
          <w:sz w:val="21"/>
        </w:rPr>
        <w:t>Our analysis moves between two scales. Across the sampled test records, we rank features by their mean absolute SHAP contribution to see which inputs the fitted model uses most often. For selected alerts, we inspect the individual SHAP and LIME outputs to see what drove that particular score. The first view can reveal a recurring dependence on a traffic field; it cannot explain every single alert. The second view is specific to one flow and must be read with its prediction outcome.</w:t>
      </w:r>
    </w:p>
    <w:p w14:paraId="2F32705A" w14:textId="77777777" w:rsidR="00A64370" w:rsidRDefault="00000000">
      <w:pPr>
        <w:spacing w:after="32" w:line="259" w:lineRule="auto"/>
        <w:ind w:firstLine="259"/>
        <w:jc w:val="both"/>
      </w:pPr>
      <w:r>
        <w:rPr>
          <w:sz w:val="21"/>
        </w:rPr>
        <w:t>LIME explains a prediction by sampling around the selected record, obtaining model outputs for those samples, and fitting an interpretable local model [2]. Its model-agnostic design is useful when the same explanation procedure must be applied to different classifiers. The local approximation can nevertheless become unstable when sampling changes or when perturbations create implausible combinations of network attributes.</w:t>
      </w:r>
    </w:p>
    <w:p w14:paraId="3D0CE890" w14:textId="77777777" w:rsidR="00A64370" w:rsidRDefault="00000000">
      <w:pPr>
        <w:spacing w:after="32" w:line="259" w:lineRule="auto"/>
        <w:ind w:firstLine="259"/>
        <w:jc w:val="both"/>
      </w:pPr>
      <w:r>
        <w:rPr>
          <w:sz w:val="21"/>
        </w:rPr>
        <w:t xml:space="preserve">The choices made around LIME are part of the experiment rather than minor software settings. Kernel width controls how strongly distant samples influence the surrogate. The number of perturbed samples affects runtime and the precision of the </w:t>
      </w:r>
      <w:r>
        <w:rPr>
          <w:sz w:val="21"/>
        </w:rPr>
        <w:lastRenderedPageBreak/>
        <w:t>fitted local model. Because UNSW-NB15 includes related counts, durations, rates, and protocol fields, perturbations may be mathematically valid but unlike feasible flows. The implementation preserved categorical values and interpreted LIME as a local approximation.</w:t>
      </w:r>
    </w:p>
    <w:p w14:paraId="3342BB2C" w14:textId="77777777" w:rsidR="00A64370" w:rsidRDefault="00000000">
      <w:pPr>
        <w:spacing w:after="32" w:line="259" w:lineRule="auto"/>
        <w:ind w:firstLine="259"/>
        <w:jc w:val="both"/>
      </w:pPr>
      <w:r>
        <w:rPr>
          <w:sz w:val="21"/>
        </w:rPr>
        <w:t>For SHAP, a model output is decomposed into a reference value and attributed contributions from the input features [3]. The tree implementation makes this calculation practical for the two ensembles studied here. We use aggregate attributions to inspect recurring model patterns and record-level plots to inspect individual alerts. Neither view is independent of the fitted model or the representation of its inputs. In particular, correlated traffic measurements may share importance differently under different attribution assumptions, so a large contribution should be read in that context.</w:t>
      </w:r>
    </w:p>
    <w:p w14:paraId="22135F2D" w14:textId="77777777" w:rsidR="00A64370" w:rsidRDefault="00000000">
      <w:pPr>
        <w:spacing w:after="32" w:line="259" w:lineRule="auto"/>
        <w:ind w:firstLine="259"/>
        <w:jc w:val="both"/>
      </w:pPr>
      <w:r>
        <w:rPr>
          <w:sz w:val="21"/>
        </w:rPr>
        <w:t xml:space="preserve">For a prediction f(x), an additive explanation can be written conceptually as f(x) = φ0 + </w:t>
      </w:r>
      <w:proofErr w:type="spellStart"/>
      <w:r>
        <w:rPr>
          <w:sz w:val="21"/>
        </w:rPr>
        <w:t>Σφi</w:t>
      </w:r>
      <w:proofErr w:type="spellEnd"/>
      <w:r>
        <w:rPr>
          <w:sz w:val="21"/>
        </w:rPr>
        <w:t xml:space="preserve">, where φ0 is the reference output and </w:t>
      </w:r>
      <w:proofErr w:type="spellStart"/>
      <w:r>
        <w:rPr>
          <w:sz w:val="21"/>
        </w:rPr>
        <w:t>φi</w:t>
      </w:r>
      <w:proofErr w:type="spellEnd"/>
      <w:r>
        <w:rPr>
          <w:sz w:val="21"/>
        </w:rPr>
        <w:t xml:space="preserve"> is the contribution assigned to feature i. Positive and negative contributions are meaningful only relative to the selected class and output scale. This study used raw-output </w:t>
      </w:r>
      <w:proofErr w:type="spellStart"/>
      <w:r>
        <w:rPr>
          <w:sz w:val="21"/>
        </w:rPr>
        <w:t>TreeSHAP</w:t>
      </w:r>
      <w:proofErr w:type="spellEnd"/>
      <w:r>
        <w:rPr>
          <w:sz w:val="21"/>
        </w:rPr>
        <w:t xml:space="preserve"> values and probability-based LIME surrogates, so attribution magnitudes were not compared directly across methods.</w:t>
      </w:r>
    </w:p>
    <w:p w14:paraId="5C37132B" w14:textId="77777777" w:rsidR="00A64370" w:rsidRDefault="00000000">
      <w:pPr>
        <w:keepNext/>
        <w:keepLines/>
        <w:spacing w:before="60" w:after="20"/>
      </w:pPr>
      <w:r>
        <w:rPr>
          <w:b/>
          <w:sz w:val="21"/>
        </w:rPr>
        <w:t>B. Explainable Intrusion Detection</w:t>
      </w:r>
    </w:p>
    <w:p w14:paraId="47E73FF2" w14:textId="77777777" w:rsidR="00A64370" w:rsidRDefault="00000000">
      <w:pPr>
        <w:spacing w:after="32" w:line="259" w:lineRule="auto"/>
        <w:ind w:firstLine="259"/>
        <w:jc w:val="both"/>
      </w:pPr>
      <w:r>
        <w:rPr>
          <w:sz w:val="21"/>
        </w:rPr>
        <w:t>Wang et al. presented an early explainable machine-learning framework for IDS using SHAP with one-versus-all and multiclass classifiers on NSL-KDD [4]. The explanations corresponded to known attack characteristics, establishing a practical link between feature attribution and intrusion analysis. The use of an older benchmark and the limited treatment of explanation reliability leave room for evaluation on other traffic representations.</w:t>
      </w:r>
    </w:p>
    <w:p w14:paraId="0D8D1344" w14:textId="77777777" w:rsidR="00A64370" w:rsidRDefault="00000000">
      <w:pPr>
        <w:spacing w:after="32" w:line="259" w:lineRule="auto"/>
        <w:ind w:firstLine="259"/>
        <w:jc w:val="both"/>
      </w:pPr>
      <w:r>
        <w:rPr>
          <w:sz w:val="21"/>
        </w:rPr>
        <w:t>Patil et al. trained decision tree, Random Forest, SVM, and voting models on CICIDS2017 and used LIME to explain individual results [5]. Their study shows that ensemble detection and local explanation can be integrated. It concentrates on LIME and reported classifier performance, so agreement with another explainer and a systematic comparison of false positives and false negatives remain separate questions.</w:t>
      </w:r>
    </w:p>
    <w:p w14:paraId="7828BDD7" w14:textId="77777777" w:rsidR="00A64370" w:rsidRDefault="00000000">
      <w:pPr>
        <w:spacing w:after="32" w:line="259" w:lineRule="auto"/>
        <w:ind w:firstLine="259"/>
        <w:jc w:val="both"/>
      </w:pPr>
      <w:r>
        <w:rPr>
          <w:sz w:val="21"/>
        </w:rPr>
        <w:t>Wei et al.'s xNIDS accounts for input history and feature dependencies when explaining deep intrusion detectors [6]. Its evaluation examines fidelity, sparsity, completeness, and stability, and the authors also explore using explanations to derive defence rules. Those tests motivate our choice to measure explanation properties explicitly. The architecture and sequential input setting, however, differ from the tabular ensembles used in this experiment.</w:t>
      </w:r>
    </w:p>
    <w:p w14:paraId="4E07CC67" w14:textId="77777777" w:rsidR="00A64370" w:rsidRDefault="00000000">
      <w:pPr>
        <w:spacing w:after="32" w:line="259" w:lineRule="auto"/>
        <w:ind w:firstLine="259"/>
        <w:jc w:val="both"/>
      </w:pPr>
      <w:r>
        <w:rPr>
          <w:sz w:val="21"/>
        </w:rPr>
        <w:t>Across CICIDS2017, NSL-KDD, and RoEduNet-SIMARGL2021, Arreche et al. evaluated seven classifiers alongside SHAP and LIME [7]. Their work already establishes the value of comparing explainers across models and datasets. Here we ask a narrower question on UNSW-NB15: what changes when the same evaluation protocol is applied to RF and XGB and explanations are separated by the four prediction outcomes?</w:t>
      </w:r>
    </w:p>
    <w:p w14:paraId="1C396975" w14:textId="77777777" w:rsidR="00A64370" w:rsidRDefault="00000000">
      <w:pPr>
        <w:spacing w:after="32" w:line="259" w:lineRule="auto"/>
        <w:ind w:firstLine="259"/>
        <w:jc w:val="both"/>
      </w:pPr>
      <w:r>
        <w:rPr>
          <w:sz w:val="21"/>
        </w:rPr>
        <w:t>Gaspar et al. studied LIME and SHAP with an MLP intrusion detector built from a generated version of the ADFA-LD system-call data [8]. They assessed perturbations and also gathered user feedback. We adopt the principle that an explanation needs evaluation of its own, while recognising that conclusions about system calls and a neural model cannot simply be carried over to network-flow features and tree ensembles.</w:t>
      </w:r>
    </w:p>
    <w:p w14:paraId="618F5F68" w14:textId="77777777" w:rsidR="00A64370" w:rsidRDefault="00000000">
      <w:pPr>
        <w:spacing w:after="32" w:line="259" w:lineRule="auto"/>
        <w:ind w:firstLine="259"/>
        <w:jc w:val="both"/>
      </w:pPr>
      <w:r>
        <w:rPr>
          <w:sz w:val="21"/>
        </w:rPr>
        <w:t>Mia et al. inspected SHAP visualisations for correct and incorrect classifications on CIC-IoT2023, NF-UQ-NIDS-v2, and HIKARI-2021 [9]. Their error-focused analysis is particularly relevant to our false-alarm and missed-attack groups. Our comparison adds LIME on the same selected records and reports measured agreement, stability, and computation time rather than judging plots alone.</w:t>
      </w:r>
    </w:p>
    <w:p w14:paraId="544BF192" w14:textId="77777777" w:rsidR="00A64370" w:rsidRDefault="00000000">
      <w:pPr>
        <w:spacing w:after="32" w:line="259" w:lineRule="auto"/>
        <w:ind w:firstLine="259"/>
        <w:jc w:val="both"/>
      </w:pPr>
      <w:r>
        <w:rPr>
          <w:sz w:val="21"/>
        </w:rPr>
        <w:t xml:space="preserve">Hermosilla et al. compared SHAP and LIME for </w:t>
      </w:r>
      <w:proofErr w:type="spellStart"/>
      <w:r>
        <w:rPr>
          <w:sz w:val="21"/>
        </w:rPr>
        <w:t>XGBoost</w:t>
      </w:r>
      <w:proofErr w:type="spellEnd"/>
      <w:r>
        <w:rPr>
          <w:sz w:val="21"/>
        </w:rPr>
        <w:t xml:space="preserve"> and </w:t>
      </w:r>
      <w:proofErr w:type="spellStart"/>
      <w:r>
        <w:rPr>
          <w:sz w:val="21"/>
        </w:rPr>
        <w:t>TabNet</w:t>
      </w:r>
      <w:proofErr w:type="spellEnd"/>
      <w:r>
        <w:rPr>
          <w:sz w:val="21"/>
        </w:rPr>
        <w:t xml:space="preserve"> on UNSW-NB15, including stability and fidelity considerations in a forensic setting [10]. This is the closest prior configuration and prevents a broad novelty claim based only on the dataset and explainers. The present study instead pairs </w:t>
      </w:r>
      <w:proofErr w:type="spellStart"/>
      <w:r>
        <w:rPr>
          <w:sz w:val="21"/>
        </w:rPr>
        <w:t>XGBoost</w:t>
      </w:r>
      <w:proofErr w:type="spellEnd"/>
      <w:r>
        <w:rPr>
          <w:sz w:val="21"/>
        </w:rPr>
        <w:t xml:space="preserve"> with Random Forest and </w:t>
      </w:r>
      <w:proofErr w:type="spellStart"/>
      <w:r>
        <w:rPr>
          <w:sz w:val="21"/>
        </w:rPr>
        <w:t>organises</w:t>
      </w:r>
      <w:proofErr w:type="spellEnd"/>
      <w:r>
        <w:rPr>
          <w:sz w:val="21"/>
        </w:rPr>
        <w:t xml:space="preserve"> the comparison around all four confusion-matrix outcomes.</w:t>
      </w:r>
    </w:p>
    <w:p w14:paraId="007F5140" w14:textId="77777777" w:rsidR="00A64370" w:rsidRDefault="00000000">
      <w:pPr>
        <w:spacing w:after="32" w:line="259" w:lineRule="auto"/>
        <w:ind w:firstLine="259"/>
        <w:jc w:val="both"/>
      </w:pPr>
      <w:r>
        <w:rPr>
          <w:sz w:val="21"/>
        </w:rPr>
        <w:t xml:space="preserve">Mohale and </w:t>
      </w:r>
      <w:proofErr w:type="spellStart"/>
      <w:r>
        <w:rPr>
          <w:sz w:val="21"/>
        </w:rPr>
        <w:t>Obagbuwa's</w:t>
      </w:r>
      <w:proofErr w:type="spellEnd"/>
      <w:r>
        <w:rPr>
          <w:sz w:val="21"/>
        </w:rPr>
        <w:t xml:space="preserve"> systematic review found continued problems in </w:t>
      </w:r>
      <w:proofErr w:type="spellStart"/>
      <w:r>
        <w:rPr>
          <w:sz w:val="21"/>
        </w:rPr>
        <w:t>standardisation</w:t>
      </w:r>
      <w:proofErr w:type="spellEnd"/>
      <w:r>
        <w:rPr>
          <w:sz w:val="21"/>
        </w:rPr>
        <w:t>, scalability, and real-time use of explanations in IDS [11]. Taken together, the literature shows that explanations should be evaluated as outputs with their own limitations. It also shows that explanation plots alone do not establish human understanding or operational trust.</w:t>
      </w:r>
    </w:p>
    <w:p w14:paraId="2F5CA43F" w14:textId="77777777" w:rsidR="00A64370" w:rsidRDefault="00000000">
      <w:pPr>
        <w:spacing w:after="32" w:line="259" w:lineRule="auto"/>
        <w:ind w:firstLine="259"/>
        <w:jc w:val="both"/>
      </w:pPr>
      <w:r>
        <w:rPr>
          <w:sz w:val="21"/>
        </w:rPr>
        <w:t>The studies also use different meanings of explanation quality. Some judge whether a plot appears consistent with known attack characteristics. Others perturb important features, compare a surrogate with the original model, test stability, or ask participants to rate usefulness. These measures are complementary rather than interchangeable. The present study therefore uses several measurable properties and labels each one precisely. It does not collapse fidelity, stability, agreement, sparsity, runtime, and human trust into one interpretability score.</w:t>
      </w:r>
    </w:p>
    <w:p w14:paraId="1015CDDF" w14:textId="77777777" w:rsidR="00A64370" w:rsidRDefault="00000000">
      <w:pPr>
        <w:spacing w:after="32" w:line="259" w:lineRule="auto"/>
        <w:ind w:firstLine="259"/>
        <w:jc w:val="both"/>
      </w:pPr>
      <w:r>
        <w:rPr>
          <w:sz w:val="21"/>
        </w:rPr>
        <w:t xml:space="preserve">Table I </w:t>
      </w:r>
      <w:proofErr w:type="spellStart"/>
      <w:r>
        <w:rPr>
          <w:sz w:val="21"/>
        </w:rPr>
        <w:t>summarises</w:t>
      </w:r>
      <w:proofErr w:type="spellEnd"/>
      <w:r>
        <w:rPr>
          <w:sz w:val="21"/>
        </w:rPr>
        <w:t xml:space="preserve"> the relationship between these studies and the controlled replication and extension reported here.</w:t>
      </w:r>
    </w:p>
    <w:p w14:paraId="2F879FD8" w14:textId="77777777" w:rsidR="00A64370" w:rsidRDefault="00A64370">
      <w:pPr>
        <w:sectPr w:rsidR="00A64370">
          <w:type w:val="continuous"/>
          <w:pgSz w:w="12240" w:h="15840" w:code="1"/>
          <w:pgMar w:top="893" w:right="720" w:bottom="792" w:left="720" w:header="360" w:footer="360" w:gutter="0"/>
          <w:cols w:num="2" w:space="288"/>
          <w:docGrid w:linePitch="360"/>
        </w:sectPr>
      </w:pPr>
    </w:p>
    <w:p w14:paraId="515B010F" w14:textId="77777777" w:rsidR="008E3CB6" w:rsidRDefault="008E3CB6">
      <w:pPr>
        <w:keepNext/>
        <w:keepLines/>
        <w:spacing w:before="40" w:after="40"/>
        <w:jc w:val="center"/>
        <w:rPr>
          <w:i/>
          <w:sz w:val="16"/>
        </w:rPr>
      </w:pPr>
    </w:p>
    <w:p w14:paraId="7EC52C2B" w14:textId="77777777" w:rsidR="008E3CB6" w:rsidRDefault="008E3CB6">
      <w:pPr>
        <w:keepNext/>
        <w:keepLines/>
        <w:spacing w:before="40" w:after="40"/>
        <w:jc w:val="center"/>
        <w:rPr>
          <w:i/>
          <w:sz w:val="16"/>
        </w:rPr>
      </w:pPr>
    </w:p>
    <w:p w14:paraId="42BB447C" w14:textId="77777777" w:rsidR="008E3CB6" w:rsidRDefault="008E3CB6">
      <w:pPr>
        <w:keepNext/>
        <w:keepLines/>
        <w:spacing w:before="40" w:after="40"/>
        <w:jc w:val="center"/>
        <w:rPr>
          <w:i/>
          <w:sz w:val="16"/>
        </w:rPr>
      </w:pPr>
    </w:p>
    <w:p w14:paraId="010BE9AB" w14:textId="253F2656" w:rsidR="00A64370" w:rsidRDefault="00000000">
      <w:pPr>
        <w:keepNext/>
        <w:keepLines/>
        <w:spacing w:before="40" w:after="40"/>
        <w:jc w:val="center"/>
      </w:pPr>
      <w:r>
        <w:rPr>
          <w:i/>
          <w:sz w:val="16"/>
        </w:rPr>
        <w:t>Table I. Selected literature and its relevance to the present study</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68"/>
        <w:gridCol w:w="2088"/>
        <w:gridCol w:w="1757"/>
        <w:gridCol w:w="3168"/>
        <w:gridCol w:w="3096"/>
      </w:tblGrid>
      <w:tr w:rsidR="00A64370" w14:paraId="06E515B7" w14:textId="77777777">
        <w:trPr>
          <w:cantSplit/>
          <w:tblHeader/>
          <w:jc w:val="center"/>
        </w:trPr>
        <w:tc>
          <w:tcPr>
            <w:tcW w:w="1368" w:type="dxa"/>
            <w:shd w:val="clear" w:color="auto" w:fill="D9E2F3"/>
            <w:tcMar>
              <w:top w:w="45" w:type="dxa"/>
              <w:left w:w="55" w:type="dxa"/>
              <w:bottom w:w="45" w:type="dxa"/>
              <w:right w:w="55" w:type="dxa"/>
            </w:tcMar>
            <w:vAlign w:val="center"/>
          </w:tcPr>
          <w:p w14:paraId="410FE5D4" w14:textId="77777777" w:rsidR="00A64370" w:rsidRDefault="00000000">
            <w:pPr>
              <w:jc w:val="center"/>
            </w:pPr>
            <w:r>
              <w:rPr>
                <w:b/>
                <w:sz w:val="13"/>
              </w:rPr>
              <w:t>Study</w:t>
            </w:r>
          </w:p>
        </w:tc>
        <w:tc>
          <w:tcPr>
            <w:tcW w:w="2088" w:type="dxa"/>
            <w:shd w:val="clear" w:color="auto" w:fill="D9E2F3"/>
            <w:tcMar>
              <w:top w:w="45" w:type="dxa"/>
              <w:left w:w="55" w:type="dxa"/>
              <w:bottom w:w="45" w:type="dxa"/>
              <w:right w:w="55" w:type="dxa"/>
            </w:tcMar>
            <w:vAlign w:val="center"/>
          </w:tcPr>
          <w:p w14:paraId="19F0C7A7" w14:textId="77777777" w:rsidR="00A64370" w:rsidRDefault="00000000">
            <w:pPr>
              <w:jc w:val="center"/>
            </w:pPr>
            <w:r>
              <w:rPr>
                <w:b/>
                <w:sz w:val="13"/>
              </w:rPr>
              <w:t>Method</w:t>
            </w:r>
          </w:p>
        </w:tc>
        <w:tc>
          <w:tcPr>
            <w:tcW w:w="1757" w:type="dxa"/>
            <w:shd w:val="clear" w:color="auto" w:fill="D9E2F3"/>
            <w:tcMar>
              <w:top w:w="45" w:type="dxa"/>
              <w:left w:w="55" w:type="dxa"/>
              <w:bottom w:w="45" w:type="dxa"/>
              <w:right w:w="55" w:type="dxa"/>
            </w:tcMar>
            <w:vAlign w:val="center"/>
          </w:tcPr>
          <w:p w14:paraId="45281FE5" w14:textId="77777777" w:rsidR="00A64370" w:rsidRDefault="00000000">
            <w:pPr>
              <w:jc w:val="center"/>
            </w:pPr>
            <w:r>
              <w:rPr>
                <w:b/>
                <w:sz w:val="13"/>
              </w:rPr>
              <w:t>Dataset</w:t>
            </w:r>
          </w:p>
        </w:tc>
        <w:tc>
          <w:tcPr>
            <w:tcW w:w="3168" w:type="dxa"/>
            <w:shd w:val="clear" w:color="auto" w:fill="D9E2F3"/>
            <w:tcMar>
              <w:top w:w="45" w:type="dxa"/>
              <w:left w:w="55" w:type="dxa"/>
              <w:bottom w:w="45" w:type="dxa"/>
              <w:right w:w="55" w:type="dxa"/>
            </w:tcMar>
            <w:vAlign w:val="center"/>
          </w:tcPr>
          <w:p w14:paraId="2F5C5FF2" w14:textId="77777777" w:rsidR="00A64370" w:rsidRDefault="00000000">
            <w:pPr>
              <w:jc w:val="center"/>
            </w:pPr>
            <w:r>
              <w:rPr>
                <w:b/>
                <w:sz w:val="13"/>
              </w:rPr>
              <w:t>Main finding</w:t>
            </w:r>
          </w:p>
        </w:tc>
        <w:tc>
          <w:tcPr>
            <w:tcW w:w="3096" w:type="dxa"/>
            <w:shd w:val="clear" w:color="auto" w:fill="D9E2F3"/>
            <w:tcMar>
              <w:top w:w="45" w:type="dxa"/>
              <w:left w:w="55" w:type="dxa"/>
              <w:bottom w:w="45" w:type="dxa"/>
              <w:right w:w="55" w:type="dxa"/>
            </w:tcMar>
            <w:vAlign w:val="center"/>
          </w:tcPr>
          <w:p w14:paraId="05D992E5" w14:textId="77777777" w:rsidR="00A64370" w:rsidRDefault="00000000">
            <w:pPr>
              <w:jc w:val="center"/>
            </w:pPr>
            <w:r>
              <w:rPr>
                <w:b/>
                <w:sz w:val="13"/>
              </w:rPr>
              <w:t>Limitation or gap</w:t>
            </w:r>
          </w:p>
        </w:tc>
      </w:tr>
      <w:tr w:rsidR="00A64370" w14:paraId="0891F578" w14:textId="77777777">
        <w:trPr>
          <w:cantSplit/>
          <w:jc w:val="center"/>
        </w:trPr>
        <w:tc>
          <w:tcPr>
            <w:tcW w:w="1368" w:type="dxa"/>
            <w:tcMar>
              <w:top w:w="45" w:type="dxa"/>
              <w:left w:w="55" w:type="dxa"/>
              <w:bottom w:w="45" w:type="dxa"/>
              <w:right w:w="55" w:type="dxa"/>
            </w:tcMar>
            <w:vAlign w:val="center"/>
          </w:tcPr>
          <w:p w14:paraId="1D7EBBA4" w14:textId="77777777" w:rsidR="00A64370" w:rsidRDefault="00000000">
            <w:pPr>
              <w:jc w:val="center"/>
            </w:pPr>
            <w:r>
              <w:rPr>
                <w:sz w:val="13"/>
              </w:rPr>
              <w:t>Wang et al. [4]</w:t>
            </w:r>
          </w:p>
        </w:tc>
        <w:tc>
          <w:tcPr>
            <w:tcW w:w="2088" w:type="dxa"/>
            <w:tcMar>
              <w:top w:w="45" w:type="dxa"/>
              <w:left w:w="55" w:type="dxa"/>
              <w:bottom w:w="45" w:type="dxa"/>
              <w:right w:w="55" w:type="dxa"/>
            </w:tcMar>
            <w:vAlign w:val="center"/>
          </w:tcPr>
          <w:p w14:paraId="21F131DC" w14:textId="77777777" w:rsidR="00A64370" w:rsidRDefault="00000000">
            <w:r>
              <w:rPr>
                <w:sz w:val="13"/>
              </w:rPr>
              <w:t>SHAP with neural IDS</w:t>
            </w:r>
          </w:p>
        </w:tc>
        <w:tc>
          <w:tcPr>
            <w:tcW w:w="1757" w:type="dxa"/>
            <w:tcMar>
              <w:top w:w="45" w:type="dxa"/>
              <w:left w:w="55" w:type="dxa"/>
              <w:bottom w:w="45" w:type="dxa"/>
              <w:right w:w="55" w:type="dxa"/>
            </w:tcMar>
            <w:vAlign w:val="center"/>
          </w:tcPr>
          <w:p w14:paraId="3D129000" w14:textId="77777777" w:rsidR="00A64370" w:rsidRDefault="00000000">
            <w:r>
              <w:rPr>
                <w:sz w:val="13"/>
              </w:rPr>
              <w:t>NSL-KDD</w:t>
            </w:r>
          </w:p>
        </w:tc>
        <w:tc>
          <w:tcPr>
            <w:tcW w:w="3168" w:type="dxa"/>
            <w:tcMar>
              <w:top w:w="45" w:type="dxa"/>
              <w:left w:w="55" w:type="dxa"/>
              <w:bottom w:w="45" w:type="dxa"/>
              <w:right w:w="55" w:type="dxa"/>
            </w:tcMar>
            <w:vAlign w:val="center"/>
          </w:tcPr>
          <w:p w14:paraId="0C2B29FE" w14:textId="77777777" w:rsidR="00A64370" w:rsidRDefault="00000000">
            <w:r>
              <w:rPr>
                <w:sz w:val="13"/>
              </w:rPr>
              <w:t>Local and global attributions align with attack characteristics</w:t>
            </w:r>
          </w:p>
        </w:tc>
        <w:tc>
          <w:tcPr>
            <w:tcW w:w="3096" w:type="dxa"/>
            <w:tcMar>
              <w:top w:w="45" w:type="dxa"/>
              <w:left w:w="55" w:type="dxa"/>
              <w:bottom w:w="45" w:type="dxa"/>
              <w:right w:w="55" w:type="dxa"/>
            </w:tcMar>
            <w:vAlign w:val="center"/>
          </w:tcPr>
          <w:p w14:paraId="6EF6AE84" w14:textId="77777777" w:rsidR="00A64370" w:rsidRDefault="00000000">
            <w:r>
              <w:rPr>
                <w:sz w:val="13"/>
              </w:rPr>
              <w:t>Older dataset; limited explanation validation</w:t>
            </w:r>
          </w:p>
        </w:tc>
      </w:tr>
      <w:tr w:rsidR="00A64370" w14:paraId="0E5C8B38" w14:textId="77777777">
        <w:trPr>
          <w:cantSplit/>
          <w:jc w:val="center"/>
        </w:trPr>
        <w:tc>
          <w:tcPr>
            <w:tcW w:w="1368" w:type="dxa"/>
            <w:shd w:val="clear" w:color="auto" w:fill="F7F9FC"/>
            <w:tcMar>
              <w:top w:w="45" w:type="dxa"/>
              <w:left w:w="55" w:type="dxa"/>
              <w:bottom w:w="45" w:type="dxa"/>
              <w:right w:w="55" w:type="dxa"/>
            </w:tcMar>
            <w:vAlign w:val="center"/>
          </w:tcPr>
          <w:p w14:paraId="6282A547" w14:textId="77777777" w:rsidR="00A64370" w:rsidRDefault="00000000">
            <w:pPr>
              <w:jc w:val="center"/>
            </w:pPr>
            <w:r>
              <w:rPr>
                <w:sz w:val="13"/>
              </w:rPr>
              <w:t>Patil et al. [5]</w:t>
            </w:r>
          </w:p>
        </w:tc>
        <w:tc>
          <w:tcPr>
            <w:tcW w:w="2088" w:type="dxa"/>
            <w:shd w:val="clear" w:color="auto" w:fill="F7F9FC"/>
            <w:tcMar>
              <w:top w:w="45" w:type="dxa"/>
              <w:left w:w="55" w:type="dxa"/>
              <w:bottom w:w="45" w:type="dxa"/>
              <w:right w:w="55" w:type="dxa"/>
            </w:tcMar>
            <w:vAlign w:val="center"/>
          </w:tcPr>
          <w:p w14:paraId="490B86D5" w14:textId="77777777" w:rsidR="00A64370" w:rsidRDefault="00000000">
            <w:r>
              <w:rPr>
                <w:sz w:val="13"/>
              </w:rPr>
              <w:t>Ensemble IDS with LIME</w:t>
            </w:r>
          </w:p>
        </w:tc>
        <w:tc>
          <w:tcPr>
            <w:tcW w:w="1757" w:type="dxa"/>
            <w:shd w:val="clear" w:color="auto" w:fill="F7F9FC"/>
            <w:tcMar>
              <w:top w:w="45" w:type="dxa"/>
              <w:left w:w="55" w:type="dxa"/>
              <w:bottom w:w="45" w:type="dxa"/>
              <w:right w:w="55" w:type="dxa"/>
            </w:tcMar>
            <w:vAlign w:val="center"/>
          </w:tcPr>
          <w:p w14:paraId="5A4084C0" w14:textId="77777777" w:rsidR="00A64370" w:rsidRDefault="00000000">
            <w:r>
              <w:rPr>
                <w:sz w:val="13"/>
              </w:rPr>
              <w:t>CICIDS2017</w:t>
            </w:r>
          </w:p>
        </w:tc>
        <w:tc>
          <w:tcPr>
            <w:tcW w:w="3168" w:type="dxa"/>
            <w:shd w:val="clear" w:color="auto" w:fill="F7F9FC"/>
            <w:tcMar>
              <w:top w:w="45" w:type="dxa"/>
              <w:left w:w="55" w:type="dxa"/>
              <w:bottom w:w="45" w:type="dxa"/>
              <w:right w:w="55" w:type="dxa"/>
            </w:tcMar>
            <w:vAlign w:val="center"/>
          </w:tcPr>
          <w:p w14:paraId="78319EC0" w14:textId="77777777" w:rsidR="00A64370" w:rsidRDefault="00000000">
            <w:r>
              <w:rPr>
                <w:sz w:val="13"/>
              </w:rPr>
              <w:t>Local explanations accompany an ensemble classifier</w:t>
            </w:r>
          </w:p>
        </w:tc>
        <w:tc>
          <w:tcPr>
            <w:tcW w:w="3096" w:type="dxa"/>
            <w:shd w:val="clear" w:color="auto" w:fill="F7F9FC"/>
            <w:tcMar>
              <w:top w:w="45" w:type="dxa"/>
              <w:left w:w="55" w:type="dxa"/>
              <w:bottom w:w="45" w:type="dxa"/>
              <w:right w:w="55" w:type="dxa"/>
            </w:tcMar>
            <w:vAlign w:val="center"/>
          </w:tcPr>
          <w:p w14:paraId="22A42643" w14:textId="77777777" w:rsidR="00A64370" w:rsidRDefault="00000000">
            <w:r>
              <w:rPr>
                <w:sz w:val="13"/>
              </w:rPr>
              <w:t>Single explainer; limited error-stratified analysis</w:t>
            </w:r>
          </w:p>
        </w:tc>
      </w:tr>
      <w:tr w:rsidR="00A64370" w14:paraId="1B657E6C" w14:textId="77777777">
        <w:trPr>
          <w:cantSplit/>
          <w:jc w:val="center"/>
        </w:trPr>
        <w:tc>
          <w:tcPr>
            <w:tcW w:w="1368" w:type="dxa"/>
            <w:tcMar>
              <w:top w:w="45" w:type="dxa"/>
              <w:left w:w="55" w:type="dxa"/>
              <w:bottom w:w="45" w:type="dxa"/>
              <w:right w:w="55" w:type="dxa"/>
            </w:tcMar>
            <w:vAlign w:val="center"/>
          </w:tcPr>
          <w:p w14:paraId="0F55A3A3" w14:textId="77777777" w:rsidR="00A64370" w:rsidRDefault="00000000">
            <w:pPr>
              <w:jc w:val="center"/>
            </w:pPr>
            <w:r>
              <w:rPr>
                <w:sz w:val="13"/>
              </w:rPr>
              <w:t>Wei et al. [6]</w:t>
            </w:r>
          </w:p>
        </w:tc>
        <w:tc>
          <w:tcPr>
            <w:tcW w:w="2088" w:type="dxa"/>
            <w:tcMar>
              <w:top w:w="45" w:type="dxa"/>
              <w:left w:w="55" w:type="dxa"/>
              <w:bottom w:w="45" w:type="dxa"/>
              <w:right w:w="55" w:type="dxa"/>
            </w:tcMar>
            <w:vAlign w:val="center"/>
          </w:tcPr>
          <w:p w14:paraId="637351D8" w14:textId="77777777" w:rsidR="00A64370" w:rsidRDefault="00000000">
            <w:proofErr w:type="spellStart"/>
            <w:r>
              <w:rPr>
                <w:sz w:val="13"/>
              </w:rPr>
              <w:t>xNIDS</w:t>
            </w:r>
            <w:proofErr w:type="spellEnd"/>
          </w:p>
        </w:tc>
        <w:tc>
          <w:tcPr>
            <w:tcW w:w="1757" w:type="dxa"/>
            <w:tcMar>
              <w:top w:w="45" w:type="dxa"/>
              <w:left w:w="55" w:type="dxa"/>
              <w:bottom w:w="45" w:type="dxa"/>
              <w:right w:w="55" w:type="dxa"/>
            </w:tcMar>
            <w:vAlign w:val="center"/>
          </w:tcPr>
          <w:p w14:paraId="5A17BD0F" w14:textId="77777777" w:rsidR="00A64370" w:rsidRDefault="00000000">
            <w:r>
              <w:rPr>
                <w:sz w:val="13"/>
              </w:rPr>
              <w:t>Four DL-NIDS settings</w:t>
            </w:r>
          </w:p>
        </w:tc>
        <w:tc>
          <w:tcPr>
            <w:tcW w:w="3168" w:type="dxa"/>
            <w:tcMar>
              <w:top w:w="45" w:type="dxa"/>
              <w:left w:w="55" w:type="dxa"/>
              <w:bottom w:w="45" w:type="dxa"/>
              <w:right w:w="55" w:type="dxa"/>
            </w:tcMar>
            <w:vAlign w:val="center"/>
          </w:tcPr>
          <w:p w14:paraId="5BBCD060" w14:textId="77777777" w:rsidR="00A64370" w:rsidRDefault="00000000">
            <w:r>
              <w:rPr>
                <w:sz w:val="13"/>
              </w:rPr>
              <w:t>Measures fidelity, sparsity, completeness, and stability</w:t>
            </w:r>
          </w:p>
        </w:tc>
        <w:tc>
          <w:tcPr>
            <w:tcW w:w="3096" w:type="dxa"/>
            <w:tcMar>
              <w:top w:w="45" w:type="dxa"/>
              <w:left w:w="55" w:type="dxa"/>
              <w:bottom w:w="45" w:type="dxa"/>
              <w:right w:w="55" w:type="dxa"/>
            </w:tcMar>
            <w:vAlign w:val="center"/>
          </w:tcPr>
          <w:p w14:paraId="7592CA3D" w14:textId="77777777" w:rsidR="00A64370" w:rsidRDefault="00000000">
            <w:r>
              <w:rPr>
                <w:sz w:val="13"/>
              </w:rPr>
              <w:t>Deep sequential setting differs from tabular tree models</w:t>
            </w:r>
          </w:p>
        </w:tc>
      </w:tr>
      <w:tr w:rsidR="00A64370" w14:paraId="120869DD" w14:textId="77777777">
        <w:trPr>
          <w:cantSplit/>
          <w:jc w:val="center"/>
        </w:trPr>
        <w:tc>
          <w:tcPr>
            <w:tcW w:w="1368" w:type="dxa"/>
            <w:shd w:val="clear" w:color="auto" w:fill="F7F9FC"/>
            <w:tcMar>
              <w:top w:w="45" w:type="dxa"/>
              <w:left w:w="55" w:type="dxa"/>
              <w:bottom w:w="45" w:type="dxa"/>
              <w:right w:w="55" w:type="dxa"/>
            </w:tcMar>
            <w:vAlign w:val="center"/>
          </w:tcPr>
          <w:p w14:paraId="1FAFBD3E" w14:textId="77777777" w:rsidR="00A64370" w:rsidRDefault="00000000">
            <w:pPr>
              <w:jc w:val="center"/>
            </w:pPr>
            <w:proofErr w:type="spellStart"/>
            <w:r>
              <w:rPr>
                <w:sz w:val="13"/>
              </w:rPr>
              <w:t>Arreche</w:t>
            </w:r>
            <w:proofErr w:type="spellEnd"/>
            <w:r>
              <w:rPr>
                <w:sz w:val="13"/>
              </w:rPr>
              <w:t xml:space="preserve"> et al. [7]</w:t>
            </w:r>
          </w:p>
        </w:tc>
        <w:tc>
          <w:tcPr>
            <w:tcW w:w="2088" w:type="dxa"/>
            <w:shd w:val="clear" w:color="auto" w:fill="F7F9FC"/>
            <w:tcMar>
              <w:top w:w="45" w:type="dxa"/>
              <w:left w:w="55" w:type="dxa"/>
              <w:bottom w:w="45" w:type="dxa"/>
              <w:right w:w="55" w:type="dxa"/>
            </w:tcMar>
            <w:vAlign w:val="center"/>
          </w:tcPr>
          <w:p w14:paraId="33FBBC5B" w14:textId="77777777" w:rsidR="00A64370" w:rsidRDefault="00000000">
            <w:r>
              <w:rPr>
                <w:sz w:val="13"/>
              </w:rPr>
              <w:t>Seven models; SHAP and LIME</w:t>
            </w:r>
          </w:p>
        </w:tc>
        <w:tc>
          <w:tcPr>
            <w:tcW w:w="1757" w:type="dxa"/>
            <w:shd w:val="clear" w:color="auto" w:fill="F7F9FC"/>
            <w:tcMar>
              <w:top w:w="45" w:type="dxa"/>
              <w:left w:w="55" w:type="dxa"/>
              <w:bottom w:w="45" w:type="dxa"/>
              <w:right w:w="55" w:type="dxa"/>
            </w:tcMar>
            <w:vAlign w:val="center"/>
          </w:tcPr>
          <w:p w14:paraId="5B75B7D0" w14:textId="77777777" w:rsidR="00A64370" w:rsidRDefault="00000000">
            <w:r>
              <w:rPr>
                <w:sz w:val="13"/>
              </w:rPr>
              <w:t xml:space="preserve">CICIDS2017, NSL-KDD, </w:t>
            </w:r>
            <w:proofErr w:type="spellStart"/>
            <w:r>
              <w:rPr>
                <w:sz w:val="13"/>
              </w:rPr>
              <w:t>RoEduNet</w:t>
            </w:r>
            <w:proofErr w:type="spellEnd"/>
          </w:p>
        </w:tc>
        <w:tc>
          <w:tcPr>
            <w:tcW w:w="3168" w:type="dxa"/>
            <w:shd w:val="clear" w:color="auto" w:fill="F7F9FC"/>
            <w:tcMar>
              <w:top w:w="45" w:type="dxa"/>
              <w:left w:w="55" w:type="dxa"/>
              <w:bottom w:w="45" w:type="dxa"/>
              <w:right w:w="55" w:type="dxa"/>
            </w:tcMar>
            <w:vAlign w:val="center"/>
          </w:tcPr>
          <w:p w14:paraId="4E198EB6" w14:textId="77777777" w:rsidR="00A64370" w:rsidRDefault="00000000">
            <w:r>
              <w:rPr>
                <w:sz w:val="13"/>
              </w:rPr>
              <w:t>Broad model and explainer comparison</w:t>
            </w:r>
          </w:p>
        </w:tc>
        <w:tc>
          <w:tcPr>
            <w:tcW w:w="3096" w:type="dxa"/>
            <w:shd w:val="clear" w:color="auto" w:fill="F7F9FC"/>
            <w:tcMar>
              <w:top w:w="45" w:type="dxa"/>
              <w:left w:w="55" w:type="dxa"/>
              <w:bottom w:w="45" w:type="dxa"/>
              <w:right w:w="55" w:type="dxa"/>
            </w:tcMar>
            <w:vAlign w:val="center"/>
          </w:tcPr>
          <w:p w14:paraId="4584C863" w14:textId="77777777" w:rsidR="00A64370" w:rsidRDefault="00000000">
            <w:r>
              <w:rPr>
                <w:sz w:val="13"/>
              </w:rPr>
              <w:t xml:space="preserve">Does not </w:t>
            </w:r>
            <w:proofErr w:type="spellStart"/>
            <w:r>
              <w:rPr>
                <w:sz w:val="13"/>
              </w:rPr>
              <w:t>centre</w:t>
            </w:r>
            <w:proofErr w:type="spellEnd"/>
            <w:r>
              <w:rPr>
                <w:sz w:val="13"/>
              </w:rPr>
              <w:t xml:space="preserve"> on UNSW-NB15 error outcomes</w:t>
            </w:r>
          </w:p>
        </w:tc>
      </w:tr>
      <w:tr w:rsidR="00A64370" w14:paraId="5CB1C7C1" w14:textId="77777777">
        <w:trPr>
          <w:cantSplit/>
          <w:jc w:val="center"/>
        </w:trPr>
        <w:tc>
          <w:tcPr>
            <w:tcW w:w="1368" w:type="dxa"/>
            <w:tcMar>
              <w:top w:w="45" w:type="dxa"/>
              <w:left w:w="55" w:type="dxa"/>
              <w:bottom w:w="45" w:type="dxa"/>
              <w:right w:w="55" w:type="dxa"/>
            </w:tcMar>
            <w:vAlign w:val="center"/>
          </w:tcPr>
          <w:p w14:paraId="67D20C57" w14:textId="77777777" w:rsidR="00A64370" w:rsidRDefault="00000000">
            <w:pPr>
              <w:jc w:val="center"/>
            </w:pPr>
            <w:r>
              <w:rPr>
                <w:sz w:val="13"/>
              </w:rPr>
              <w:t>Gaspar et al. [8]</w:t>
            </w:r>
          </w:p>
        </w:tc>
        <w:tc>
          <w:tcPr>
            <w:tcW w:w="2088" w:type="dxa"/>
            <w:tcMar>
              <w:top w:w="45" w:type="dxa"/>
              <w:left w:w="55" w:type="dxa"/>
              <w:bottom w:w="45" w:type="dxa"/>
              <w:right w:w="55" w:type="dxa"/>
            </w:tcMar>
            <w:vAlign w:val="center"/>
          </w:tcPr>
          <w:p w14:paraId="00304345" w14:textId="77777777" w:rsidR="00A64370" w:rsidRDefault="00000000">
            <w:r>
              <w:rPr>
                <w:sz w:val="13"/>
              </w:rPr>
              <w:t>MLP; LIME and SHAP</w:t>
            </w:r>
          </w:p>
        </w:tc>
        <w:tc>
          <w:tcPr>
            <w:tcW w:w="1757" w:type="dxa"/>
            <w:tcMar>
              <w:top w:w="45" w:type="dxa"/>
              <w:left w:w="55" w:type="dxa"/>
              <w:bottom w:w="45" w:type="dxa"/>
              <w:right w:w="55" w:type="dxa"/>
            </w:tcMar>
            <w:vAlign w:val="center"/>
          </w:tcPr>
          <w:p w14:paraId="5691637D" w14:textId="77777777" w:rsidR="00A64370" w:rsidRDefault="00000000">
            <w:r>
              <w:rPr>
                <w:sz w:val="13"/>
              </w:rPr>
              <w:t>Generated ADFA-LD</w:t>
            </w:r>
          </w:p>
        </w:tc>
        <w:tc>
          <w:tcPr>
            <w:tcW w:w="3168" w:type="dxa"/>
            <w:tcMar>
              <w:top w:w="45" w:type="dxa"/>
              <w:left w:w="55" w:type="dxa"/>
              <w:bottom w:w="45" w:type="dxa"/>
              <w:right w:w="55" w:type="dxa"/>
            </w:tcMar>
            <w:vAlign w:val="center"/>
          </w:tcPr>
          <w:p w14:paraId="22A29FCF" w14:textId="77777777" w:rsidR="00A64370" w:rsidRDefault="00000000">
            <w:r>
              <w:rPr>
                <w:sz w:val="13"/>
              </w:rPr>
              <w:t>Perturbation and user feedback evaluate explanations</w:t>
            </w:r>
          </w:p>
        </w:tc>
        <w:tc>
          <w:tcPr>
            <w:tcW w:w="3096" w:type="dxa"/>
            <w:tcMar>
              <w:top w:w="45" w:type="dxa"/>
              <w:left w:w="55" w:type="dxa"/>
              <w:bottom w:w="45" w:type="dxa"/>
              <w:right w:w="55" w:type="dxa"/>
            </w:tcMar>
            <w:vAlign w:val="center"/>
          </w:tcPr>
          <w:p w14:paraId="53D9918E" w14:textId="77777777" w:rsidR="00A64370" w:rsidRDefault="00000000">
            <w:r>
              <w:rPr>
                <w:sz w:val="13"/>
              </w:rPr>
              <w:t>System-call data; one model family</w:t>
            </w:r>
          </w:p>
        </w:tc>
      </w:tr>
      <w:tr w:rsidR="00A64370" w14:paraId="0152F326" w14:textId="77777777">
        <w:trPr>
          <w:cantSplit/>
          <w:jc w:val="center"/>
        </w:trPr>
        <w:tc>
          <w:tcPr>
            <w:tcW w:w="1368" w:type="dxa"/>
            <w:shd w:val="clear" w:color="auto" w:fill="F7F9FC"/>
            <w:tcMar>
              <w:top w:w="45" w:type="dxa"/>
              <w:left w:w="55" w:type="dxa"/>
              <w:bottom w:w="45" w:type="dxa"/>
              <w:right w:w="55" w:type="dxa"/>
            </w:tcMar>
            <w:vAlign w:val="center"/>
          </w:tcPr>
          <w:p w14:paraId="2B4928C8" w14:textId="77777777" w:rsidR="00A64370" w:rsidRDefault="00000000">
            <w:pPr>
              <w:jc w:val="center"/>
            </w:pPr>
            <w:r>
              <w:rPr>
                <w:sz w:val="13"/>
              </w:rPr>
              <w:t>Mia et al. [9]</w:t>
            </w:r>
          </w:p>
        </w:tc>
        <w:tc>
          <w:tcPr>
            <w:tcW w:w="2088" w:type="dxa"/>
            <w:shd w:val="clear" w:color="auto" w:fill="F7F9FC"/>
            <w:tcMar>
              <w:top w:w="45" w:type="dxa"/>
              <w:left w:w="55" w:type="dxa"/>
              <w:bottom w:w="45" w:type="dxa"/>
              <w:right w:w="55" w:type="dxa"/>
            </w:tcMar>
            <w:vAlign w:val="center"/>
          </w:tcPr>
          <w:p w14:paraId="30AE4930" w14:textId="77777777" w:rsidR="00A64370" w:rsidRDefault="00000000">
            <w:r>
              <w:rPr>
                <w:sz w:val="13"/>
              </w:rPr>
              <w:t>SHAP error-group plots</w:t>
            </w:r>
          </w:p>
        </w:tc>
        <w:tc>
          <w:tcPr>
            <w:tcW w:w="1757" w:type="dxa"/>
            <w:shd w:val="clear" w:color="auto" w:fill="F7F9FC"/>
            <w:tcMar>
              <w:top w:w="45" w:type="dxa"/>
              <w:left w:w="55" w:type="dxa"/>
              <w:bottom w:w="45" w:type="dxa"/>
              <w:right w:w="55" w:type="dxa"/>
            </w:tcMar>
            <w:vAlign w:val="center"/>
          </w:tcPr>
          <w:p w14:paraId="293A89AF" w14:textId="77777777" w:rsidR="00A64370" w:rsidRDefault="00000000">
            <w:r>
              <w:rPr>
                <w:sz w:val="13"/>
              </w:rPr>
              <w:t>Three traffic datasets</w:t>
            </w:r>
          </w:p>
        </w:tc>
        <w:tc>
          <w:tcPr>
            <w:tcW w:w="3168" w:type="dxa"/>
            <w:shd w:val="clear" w:color="auto" w:fill="F7F9FC"/>
            <w:tcMar>
              <w:top w:w="45" w:type="dxa"/>
              <w:left w:w="55" w:type="dxa"/>
              <w:bottom w:w="45" w:type="dxa"/>
              <w:right w:w="55" w:type="dxa"/>
            </w:tcMar>
            <w:vAlign w:val="center"/>
          </w:tcPr>
          <w:p w14:paraId="45C0D0D8" w14:textId="77777777" w:rsidR="00A64370" w:rsidRDefault="00000000">
            <w:r>
              <w:rPr>
                <w:sz w:val="13"/>
              </w:rPr>
              <w:t>Diagnoses FP and FN patterns</w:t>
            </w:r>
          </w:p>
        </w:tc>
        <w:tc>
          <w:tcPr>
            <w:tcW w:w="3096" w:type="dxa"/>
            <w:shd w:val="clear" w:color="auto" w:fill="F7F9FC"/>
            <w:tcMar>
              <w:top w:w="45" w:type="dxa"/>
              <w:left w:w="55" w:type="dxa"/>
              <w:bottom w:w="45" w:type="dxa"/>
              <w:right w:w="55" w:type="dxa"/>
            </w:tcMar>
            <w:vAlign w:val="center"/>
          </w:tcPr>
          <w:p w14:paraId="1118D93F" w14:textId="77777777" w:rsidR="00A64370" w:rsidRDefault="00000000">
            <w:r>
              <w:rPr>
                <w:sz w:val="13"/>
              </w:rPr>
              <w:t>No LIME comparison; visual similarity depends on analyst judgement</w:t>
            </w:r>
          </w:p>
        </w:tc>
      </w:tr>
      <w:tr w:rsidR="00A64370" w14:paraId="71BBA006" w14:textId="77777777">
        <w:trPr>
          <w:cantSplit/>
          <w:jc w:val="center"/>
        </w:trPr>
        <w:tc>
          <w:tcPr>
            <w:tcW w:w="1368" w:type="dxa"/>
            <w:tcMar>
              <w:top w:w="45" w:type="dxa"/>
              <w:left w:w="55" w:type="dxa"/>
              <w:bottom w:w="45" w:type="dxa"/>
              <w:right w:w="55" w:type="dxa"/>
            </w:tcMar>
            <w:vAlign w:val="center"/>
          </w:tcPr>
          <w:p w14:paraId="6646A130" w14:textId="77777777" w:rsidR="00A64370" w:rsidRDefault="00000000">
            <w:pPr>
              <w:jc w:val="center"/>
            </w:pPr>
            <w:r>
              <w:rPr>
                <w:sz w:val="13"/>
              </w:rPr>
              <w:t>Hermosilla et al. [10]</w:t>
            </w:r>
          </w:p>
        </w:tc>
        <w:tc>
          <w:tcPr>
            <w:tcW w:w="2088" w:type="dxa"/>
            <w:tcMar>
              <w:top w:w="45" w:type="dxa"/>
              <w:left w:w="55" w:type="dxa"/>
              <w:bottom w:w="45" w:type="dxa"/>
              <w:right w:w="55" w:type="dxa"/>
            </w:tcMar>
            <w:vAlign w:val="center"/>
          </w:tcPr>
          <w:p w14:paraId="3EA2AAF8" w14:textId="77777777" w:rsidR="00A64370" w:rsidRDefault="00000000">
            <w:proofErr w:type="spellStart"/>
            <w:r>
              <w:rPr>
                <w:sz w:val="13"/>
              </w:rPr>
              <w:t>XGBoost</w:t>
            </w:r>
            <w:proofErr w:type="spellEnd"/>
            <w:r>
              <w:rPr>
                <w:sz w:val="13"/>
              </w:rPr>
              <w:t xml:space="preserve">, </w:t>
            </w:r>
            <w:proofErr w:type="spellStart"/>
            <w:r>
              <w:rPr>
                <w:sz w:val="13"/>
              </w:rPr>
              <w:t>TabNet</w:t>
            </w:r>
            <w:proofErr w:type="spellEnd"/>
            <w:r>
              <w:rPr>
                <w:sz w:val="13"/>
              </w:rPr>
              <w:t>; SHAP and LIME</w:t>
            </w:r>
          </w:p>
        </w:tc>
        <w:tc>
          <w:tcPr>
            <w:tcW w:w="1757" w:type="dxa"/>
            <w:tcMar>
              <w:top w:w="45" w:type="dxa"/>
              <w:left w:w="55" w:type="dxa"/>
              <w:bottom w:w="45" w:type="dxa"/>
              <w:right w:w="55" w:type="dxa"/>
            </w:tcMar>
            <w:vAlign w:val="center"/>
          </w:tcPr>
          <w:p w14:paraId="0185CD0E" w14:textId="77777777" w:rsidR="00A64370" w:rsidRDefault="00000000">
            <w:r>
              <w:rPr>
                <w:sz w:val="13"/>
              </w:rPr>
              <w:t>UNSW-NB15</w:t>
            </w:r>
          </w:p>
        </w:tc>
        <w:tc>
          <w:tcPr>
            <w:tcW w:w="3168" w:type="dxa"/>
            <w:tcMar>
              <w:top w:w="45" w:type="dxa"/>
              <w:left w:w="55" w:type="dxa"/>
              <w:bottom w:w="45" w:type="dxa"/>
              <w:right w:w="55" w:type="dxa"/>
            </w:tcMar>
            <w:vAlign w:val="center"/>
          </w:tcPr>
          <w:p w14:paraId="05184737" w14:textId="77777777" w:rsidR="00A64370" w:rsidRDefault="00000000">
            <w:r>
              <w:rPr>
                <w:sz w:val="13"/>
              </w:rPr>
              <w:t>Compares fidelity and stability for forensic use</w:t>
            </w:r>
          </w:p>
        </w:tc>
        <w:tc>
          <w:tcPr>
            <w:tcW w:w="3096" w:type="dxa"/>
            <w:tcMar>
              <w:top w:w="45" w:type="dxa"/>
              <w:left w:w="55" w:type="dxa"/>
              <w:bottom w:w="45" w:type="dxa"/>
              <w:right w:w="55" w:type="dxa"/>
            </w:tcMar>
            <w:vAlign w:val="center"/>
          </w:tcPr>
          <w:p w14:paraId="0F70B425" w14:textId="77777777" w:rsidR="00A64370" w:rsidRDefault="00000000">
            <w:r>
              <w:rPr>
                <w:sz w:val="13"/>
              </w:rPr>
              <w:t>Different model pairing; broader outcome-stratified replication is useful</w:t>
            </w:r>
          </w:p>
        </w:tc>
      </w:tr>
      <w:tr w:rsidR="00A64370" w14:paraId="161B20A2" w14:textId="77777777">
        <w:trPr>
          <w:cantSplit/>
          <w:jc w:val="center"/>
        </w:trPr>
        <w:tc>
          <w:tcPr>
            <w:tcW w:w="1368" w:type="dxa"/>
            <w:shd w:val="clear" w:color="auto" w:fill="F7F9FC"/>
            <w:tcMar>
              <w:top w:w="45" w:type="dxa"/>
              <w:left w:w="55" w:type="dxa"/>
              <w:bottom w:w="45" w:type="dxa"/>
              <w:right w:w="55" w:type="dxa"/>
            </w:tcMar>
            <w:vAlign w:val="center"/>
          </w:tcPr>
          <w:p w14:paraId="45F70A09" w14:textId="77777777" w:rsidR="00A64370" w:rsidRDefault="00000000">
            <w:pPr>
              <w:jc w:val="center"/>
            </w:pPr>
            <w:r>
              <w:rPr>
                <w:sz w:val="13"/>
              </w:rPr>
              <w:t xml:space="preserve">Mohale and </w:t>
            </w:r>
            <w:proofErr w:type="spellStart"/>
            <w:r>
              <w:rPr>
                <w:sz w:val="13"/>
              </w:rPr>
              <w:t>Obagbuwa</w:t>
            </w:r>
            <w:proofErr w:type="spellEnd"/>
            <w:r>
              <w:rPr>
                <w:sz w:val="13"/>
              </w:rPr>
              <w:t xml:space="preserve"> [11]</w:t>
            </w:r>
          </w:p>
        </w:tc>
        <w:tc>
          <w:tcPr>
            <w:tcW w:w="2088" w:type="dxa"/>
            <w:shd w:val="clear" w:color="auto" w:fill="F7F9FC"/>
            <w:tcMar>
              <w:top w:w="45" w:type="dxa"/>
              <w:left w:w="55" w:type="dxa"/>
              <w:bottom w:w="45" w:type="dxa"/>
              <w:right w:w="55" w:type="dxa"/>
            </w:tcMar>
            <w:vAlign w:val="center"/>
          </w:tcPr>
          <w:p w14:paraId="3148D110" w14:textId="77777777" w:rsidR="00A64370" w:rsidRDefault="00000000">
            <w:r>
              <w:rPr>
                <w:sz w:val="13"/>
              </w:rPr>
              <w:t>Systematic review</w:t>
            </w:r>
          </w:p>
        </w:tc>
        <w:tc>
          <w:tcPr>
            <w:tcW w:w="1757" w:type="dxa"/>
            <w:shd w:val="clear" w:color="auto" w:fill="F7F9FC"/>
            <w:tcMar>
              <w:top w:w="45" w:type="dxa"/>
              <w:left w:w="55" w:type="dxa"/>
              <w:bottom w:w="45" w:type="dxa"/>
              <w:right w:w="55" w:type="dxa"/>
            </w:tcMar>
            <w:vAlign w:val="center"/>
          </w:tcPr>
          <w:p w14:paraId="51892BD4" w14:textId="77777777" w:rsidR="00A64370" w:rsidRDefault="00000000">
            <w:r>
              <w:rPr>
                <w:sz w:val="13"/>
              </w:rPr>
              <w:t>Twenty studies</w:t>
            </w:r>
          </w:p>
        </w:tc>
        <w:tc>
          <w:tcPr>
            <w:tcW w:w="3168" w:type="dxa"/>
            <w:shd w:val="clear" w:color="auto" w:fill="F7F9FC"/>
            <w:tcMar>
              <w:top w:w="45" w:type="dxa"/>
              <w:left w:w="55" w:type="dxa"/>
              <w:bottom w:w="45" w:type="dxa"/>
              <w:right w:w="55" w:type="dxa"/>
            </w:tcMar>
            <w:vAlign w:val="center"/>
          </w:tcPr>
          <w:p w14:paraId="166335C4" w14:textId="77777777" w:rsidR="00A64370" w:rsidRDefault="00000000">
            <w:r>
              <w:rPr>
                <w:sz w:val="13"/>
              </w:rPr>
              <w:t xml:space="preserve">Finds </w:t>
            </w:r>
            <w:proofErr w:type="spellStart"/>
            <w:r>
              <w:rPr>
                <w:sz w:val="13"/>
              </w:rPr>
              <w:t>standardisation</w:t>
            </w:r>
            <w:proofErr w:type="spellEnd"/>
            <w:r>
              <w:rPr>
                <w:sz w:val="13"/>
              </w:rPr>
              <w:t xml:space="preserve"> and scalability gaps</w:t>
            </w:r>
          </w:p>
        </w:tc>
        <w:tc>
          <w:tcPr>
            <w:tcW w:w="3096" w:type="dxa"/>
            <w:shd w:val="clear" w:color="auto" w:fill="F7F9FC"/>
            <w:tcMar>
              <w:top w:w="45" w:type="dxa"/>
              <w:left w:w="55" w:type="dxa"/>
              <w:bottom w:w="45" w:type="dxa"/>
              <w:right w:w="55" w:type="dxa"/>
            </w:tcMar>
            <w:vAlign w:val="center"/>
          </w:tcPr>
          <w:p w14:paraId="77125A32" w14:textId="77777777" w:rsidR="00A64370" w:rsidRDefault="00000000">
            <w:r>
              <w:rPr>
                <w:sz w:val="13"/>
              </w:rPr>
              <w:t>Review evidence does not replace controlled experiments</w:t>
            </w:r>
          </w:p>
        </w:tc>
      </w:tr>
    </w:tbl>
    <w:p w14:paraId="29BFB30E" w14:textId="77777777" w:rsidR="00A64370" w:rsidRDefault="00A64370">
      <w:pPr>
        <w:spacing w:after="20"/>
      </w:pPr>
    </w:p>
    <w:p w14:paraId="3A44EF83" w14:textId="77777777" w:rsidR="00A64370" w:rsidRDefault="00A64370">
      <w:pPr>
        <w:sectPr w:rsidR="00A64370">
          <w:type w:val="continuous"/>
          <w:pgSz w:w="12240" w:h="15840" w:code="1"/>
          <w:pgMar w:top="893" w:right="720" w:bottom="792" w:left="720" w:header="360" w:footer="360" w:gutter="0"/>
          <w:cols w:space="288"/>
          <w:docGrid w:linePitch="360"/>
        </w:sectPr>
      </w:pPr>
    </w:p>
    <w:p w14:paraId="01A53CC0" w14:textId="77777777" w:rsidR="00A64370" w:rsidRPr="00D778EC" w:rsidRDefault="00000000">
      <w:pPr>
        <w:keepNext/>
        <w:keepLines/>
        <w:spacing w:before="100" w:after="40"/>
        <w:jc w:val="center"/>
        <w:rPr>
          <w:b/>
          <w:bCs/>
        </w:rPr>
      </w:pPr>
      <w:r w:rsidRPr="00D778EC">
        <w:rPr>
          <w:b/>
          <w:bCs/>
          <w:sz w:val="21"/>
        </w:rPr>
        <w:t>III. PROBLEM STATEMENT AND RESEARCH GAP</w:t>
      </w:r>
    </w:p>
    <w:p w14:paraId="3B184228" w14:textId="77777777" w:rsidR="00A64370" w:rsidRDefault="00000000">
      <w:pPr>
        <w:spacing w:after="32" w:line="259" w:lineRule="auto"/>
        <w:ind w:firstLine="259"/>
        <w:jc w:val="both"/>
      </w:pPr>
      <w:r>
        <w:rPr>
          <w:sz w:val="21"/>
        </w:rPr>
        <w:t>High-performing IDS classifiers can still be difficult to audit. A model comparison based only on accuracy cannot show whether one system misses more attacks, creates more false alarms, or relies on features that are unstable under a different explanation sample. Existing research has already applied SHAP and LIME to IDS, compared multiple models, and studied misclassifications [7]</w:t>
      </w:r>
      <w:proofErr w:type="gramStart"/>
      <w:r>
        <w:rPr>
          <w:sz w:val="21"/>
        </w:rPr>
        <w:t>–[</w:t>
      </w:r>
      <w:proofErr w:type="gramEnd"/>
      <w:r>
        <w:rPr>
          <w:sz w:val="21"/>
        </w:rPr>
        <w:t>10]. The research gap is therefore specific rather than absolute.</w:t>
      </w:r>
    </w:p>
    <w:p w14:paraId="2CAEB90C" w14:textId="77777777" w:rsidR="00A64370" w:rsidRDefault="00000000">
      <w:pPr>
        <w:spacing w:after="32" w:line="259" w:lineRule="auto"/>
        <w:ind w:firstLine="259"/>
        <w:jc w:val="both"/>
      </w:pPr>
      <w:r>
        <w:rPr>
          <w:sz w:val="21"/>
        </w:rPr>
        <w:t xml:space="preserve">The contribution is a reproducible comparison of Random Forest and </w:t>
      </w:r>
      <w:proofErr w:type="spellStart"/>
      <w:r>
        <w:rPr>
          <w:sz w:val="21"/>
        </w:rPr>
        <w:t>XGBoost</w:t>
      </w:r>
      <w:proofErr w:type="spellEnd"/>
      <w:r>
        <w:rPr>
          <w:sz w:val="21"/>
        </w:rPr>
        <w:t xml:space="preserve"> under one UNSW-NB15 protocol. Detection metrics and explanation measures are reported together. Explanations are compared across the same records where possible and stratified by confusion-matrix outcome. The study also records agreement, stability, fidelity, and processing time. This design treats the work as a scoped replication and extension, not a new XAI algorithm.</w:t>
      </w:r>
    </w:p>
    <w:p w14:paraId="45FDCF5C" w14:textId="77777777" w:rsidR="00A64370" w:rsidRDefault="00000000">
      <w:pPr>
        <w:spacing w:after="32" w:line="259" w:lineRule="auto"/>
        <w:ind w:firstLine="259"/>
        <w:jc w:val="both"/>
      </w:pPr>
      <w:r>
        <w:rPr>
          <w:sz w:val="21"/>
        </w:rPr>
        <w:t>Three controls make the comparison useful. First, both classifiers receive the same predictor definitions, training records, validation logic, and final test records. Second, the original test distribution is preserved so that false-positive rate and precision describe the benchmark rather than a rebalanced sample. Third, explanations are aggregated from transformed columns to original network attributes before rankings are compared. Without these controls, differences may reflect preprocessing or presentation choices instead of the models.</w:t>
      </w:r>
    </w:p>
    <w:p w14:paraId="3508D9A2" w14:textId="77777777" w:rsidR="00A64370" w:rsidRDefault="00000000">
      <w:pPr>
        <w:spacing w:after="32" w:line="259" w:lineRule="auto"/>
        <w:ind w:firstLine="259"/>
        <w:jc w:val="both"/>
      </w:pPr>
      <w:r>
        <w:rPr>
          <w:sz w:val="21"/>
        </w:rPr>
        <w:t>The study's practical question is diagnostic. If a model flags benign traffic, do its explanations resemble typical attack detections or expose an unusual reliance on a small number of features? If a model misses an attack, which attributes pushed the score toward benign traffic, and does the competing model use those attributes differently? These questions do not promise automatic error correction. They define evidence that can guide later review of data quality, features, thresholds, and model design.</w:t>
      </w:r>
    </w:p>
    <w:p w14:paraId="2F91F431" w14:textId="77777777" w:rsidR="00A64370" w:rsidRPr="00D778EC" w:rsidRDefault="00000000">
      <w:pPr>
        <w:keepNext/>
        <w:keepLines/>
        <w:spacing w:before="100" w:after="40"/>
        <w:jc w:val="center"/>
        <w:rPr>
          <w:b/>
          <w:bCs/>
        </w:rPr>
      </w:pPr>
      <w:r w:rsidRPr="00D778EC">
        <w:rPr>
          <w:b/>
          <w:bCs/>
          <w:sz w:val="21"/>
        </w:rPr>
        <w:t>IV. RESEARCH QUESTIONS AND OBJECTIVES</w:t>
      </w:r>
    </w:p>
    <w:p w14:paraId="0D51DB90" w14:textId="77777777" w:rsidR="00A64370" w:rsidRDefault="00000000">
      <w:pPr>
        <w:keepNext/>
        <w:keepLines/>
        <w:spacing w:before="60" w:after="20"/>
      </w:pPr>
      <w:r>
        <w:rPr>
          <w:b/>
          <w:sz w:val="21"/>
        </w:rPr>
        <w:t>A. Research Questions</w:t>
      </w:r>
    </w:p>
    <w:p w14:paraId="1860DC09" w14:textId="77777777" w:rsidR="00A64370" w:rsidRDefault="00000000">
      <w:pPr>
        <w:spacing w:after="32" w:line="259" w:lineRule="auto"/>
        <w:jc w:val="both"/>
      </w:pPr>
      <w:r>
        <w:rPr>
          <w:sz w:val="21"/>
        </w:rPr>
        <w:t xml:space="preserve">RQ1: How do Random Forest and </w:t>
      </w:r>
      <w:proofErr w:type="spellStart"/>
      <w:r>
        <w:rPr>
          <w:sz w:val="21"/>
        </w:rPr>
        <w:t>XGBoost</w:t>
      </w:r>
      <w:proofErr w:type="spellEnd"/>
      <w:r>
        <w:rPr>
          <w:sz w:val="21"/>
        </w:rPr>
        <w:t xml:space="preserve"> compare in attack recall, false-positive rate, F1-score, ROC-AUC, and PR-AUC under identical data partitions?</w:t>
      </w:r>
    </w:p>
    <w:p w14:paraId="56E60C00" w14:textId="77777777" w:rsidR="00A64370" w:rsidRDefault="00000000">
      <w:pPr>
        <w:spacing w:after="32" w:line="259" w:lineRule="auto"/>
        <w:jc w:val="both"/>
      </w:pPr>
      <w:r>
        <w:rPr>
          <w:sz w:val="21"/>
        </w:rPr>
        <w:t>RQ2: Which original network attributes most strongly influence each model, and how much do their global feature rankings overlap?</w:t>
      </w:r>
    </w:p>
    <w:p w14:paraId="526747D2" w14:textId="77777777" w:rsidR="00A64370" w:rsidRDefault="00000000">
      <w:pPr>
        <w:spacing w:after="32" w:line="259" w:lineRule="auto"/>
        <w:jc w:val="both"/>
      </w:pPr>
      <w:r>
        <w:rPr>
          <w:sz w:val="21"/>
        </w:rPr>
        <w:t>RQ3: How do SHAP and LIME explanations differ among true positives, true negatives, false positives, and false negatives?</w:t>
      </w:r>
    </w:p>
    <w:p w14:paraId="5F3B2BBD" w14:textId="77777777" w:rsidR="00A64370" w:rsidRDefault="00000000">
      <w:pPr>
        <w:spacing w:after="32" w:line="259" w:lineRule="auto"/>
        <w:jc w:val="both"/>
      </w:pPr>
      <w:r>
        <w:rPr>
          <w:sz w:val="21"/>
        </w:rPr>
        <w:t>RQ4: How repeatable are the explanations under controlled reruns, and what computation time do they require?</w:t>
      </w:r>
    </w:p>
    <w:p w14:paraId="7C09D370" w14:textId="77777777" w:rsidR="00A64370" w:rsidRDefault="00000000">
      <w:pPr>
        <w:spacing w:after="32" w:line="259" w:lineRule="auto"/>
        <w:jc w:val="both"/>
      </w:pPr>
      <w:r>
        <w:rPr>
          <w:sz w:val="21"/>
        </w:rPr>
        <w:t>RQ5: Which diagnostic observations can be made from error explanations, and which claims about analyst trust remain untested without a user study?</w:t>
      </w:r>
    </w:p>
    <w:p w14:paraId="20017177" w14:textId="77777777" w:rsidR="00A64370" w:rsidRDefault="00000000">
      <w:pPr>
        <w:keepNext/>
        <w:keepLines/>
        <w:spacing w:before="60" w:after="20"/>
      </w:pPr>
      <w:r>
        <w:rPr>
          <w:b/>
          <w:sz w:val="21"/>
        </w:rPr>
        <w:t>B. Objectives</w:t>
      </w:r>
    </w:p>
    <w:p w14:paraId="726AACC8" w14:textId="77777777" w:rsidR="00A64370" w:rsidRDefault="00000000">
      <w:pPr>
        <w:spacing w:after="20"/>
        <w:ind w:left="245" w:hanging="173"/>
        <w:jc w:val="both"/>
      </w:pPr>
      <w:r>
        <w:rPr>
          <w:sz w:val="21"/>
        </w:rPr>
        <w:t>• Build a leakage-controlled preprocessing and training pipeline using the official UNSW-NB15 partitions.</w:t>
      </w:r>
    </w:p>
    <w:p w14:paraId="01736A99" w14:textId="77777777" w:rsidR="00A64370" w:rsidRDefault="00000000">
      <w:pPr>
        <w:spacing w:after="20"/>
        <w:ind w:left="245" w:hanging="173"/>
        <w:jc w:val="both"/>
      </w:pPr>
      <w:r>
        <w:rPr>
          <w:sz w:val="21"/>
        </w:rPr>
        <w:t xml:space="preserve">• Compare Random Forest and </w:t>
      </w:r>
      <w:proofErr w:type="spellStart"/>
      <w:r>
        <w:rPr>
          <w:sz w:val="21"/>
        </w:rPr>
        <w:t>XGBoost</w:t>
      </w:r>
      <w:proofErr w:type="spellEnd"/>
      <w:r>
        <w:rPr>
          <w:sz w:val="21"/>
        </w:rPr>
        <w:t xml:space="preserve"> using the same test records and clearly defined positive class.</w:t>
      </w:r>
    </w:p>
    <w:p w14:paraId="43CD1F76" w14:textId="77777777" w:rsidR="00A64370" w:rsidRDefault="00000000">
      <w:pPr>
        <w:spacing w:after="20"/>
        <w:ind w:left="245" w:hanging="173"/>
        <w:jc w:val="both"/>
      </w:pPr>
      <w:r>
        <w:rPr>
          <w:sz w:val="21"/>
        </w:rPr>
        <w:t>• Generate global and local explanations with network attributes presented in their original semantic groups.</w:t>
      </w:r>
    </w:p>
    <w:p w14:paraId="2F3CCE55" w14:textId="77777777" w:rsidR="00A64370" w:rsidRDefault="00000000">
      <w:pPr>
        <w:spacing w:after="20"/>
        <w:ind w:left="245" w:hanging="173"/>
        <w:jc w:val="both"/>
      </w:pPr>
      <w:r>
        <w:rPr>
          <w:sz w:val="21"/>
        </w:rPr>
        <w:t xml:space="preserve">• </w:t>
      </w:r>
      <w:proofErr w:type="spellStart"/>
      <w:r>
        <w:rPr>
          <w:sz w:val="21"/>
        </w:rPr>
        <w:t>Analyse</w:t>
      </w:r>
      <w:proofErr w:type="spellEnd"/>
      <w:r>
        <w:rPr>
          <w:sz w:val="21"/>
        </w:rPr>
        <w:t xml:space="preserve"> </w:t>
      </w:r>
      <w:proofErr w:type="gramStart"/>
      <w:r>
        <w:rPr>
          <w:sz w:val="21"/>
        </w:rPr>
        <w:t>correct</w:t>
      </w:r>
      <w:proofErr w:type="gramEnd"/>
      <w:r>
        <w:rPr>
          <w:sz w:val="21"/>
        </w:rPr>
        <w:t xml:space="preserve"> predictions, false alarms, and missed attacks, then measure explanation agreement, sensitivity, fidelity, and time.</w:t>
      </w:r>
    </w:p>
    <w:p w14:paraId="4AC4575D" w14:textId="77777777" w:rsidR="00A64370" w:rsidRPr="00D778EC" w:rsidRDefault="00000000">
      <w:pPr>
        <w:keepNext/>
        <w:keepLines/>
        <w:spacing w:before="100" w:after="40"/>
        <w:jc w:val="center"/>
        <w:rPr>
          <w:b/>
          <w:bCs/>
        </w:rPr>
      </w:pPr>
      <w:r w:rsidRPr="00D778EC">
        <w:rPr>
          <w:b/>
          <w:bCs/>
          <w:sz w:val="21"/>
        </w:rPr>
        <w:t>V. METHODOLOGY AND IMPLEMENTATION</w:t>
      </w:r>
    </w:p>
    <w:p w14:paraId="6958655F" w14:textId="77777777" w:rsidR="00A64370" w:rsidRDefault="00000000">
      <w:pPr>
        <w:spacing w:after="32" w:line="259" w:lineRule="auto"/>
        <w:ind w:firstLine="259"/>
        <w:jc w:val="both"/>
      </w:pPr>
      <w:r>
        <w:rPr>
          <w:sz w:val="21"/>
        </w:rPr>
        <w:t>We first checked the published dataset schema and partition roles, then fitted preprocessing and model-selection procedures using training data. After refitting the selected models, we scored the untouched test partition and grouped its records by prediction outcome. SHAP and LIME were applied to those stored predictions. Scripts and saved outputs record the fitted pipelines, case identifiers, figures, result tables, random seeds, and software versions.</w:t>
      </w:r>
    </w:p>
    <w:p w14:paraId="7F35DE80" w14:textId="77777777" w:rsidR="00A64370" w:rsidRDefault="00000000">
      <w:pPr>
        <w:spacing w:after="32" w:line="259" w:lineRule="auto"/>
        <w:ind w:firstLine="259"/>
        <w:jc w:val="both"/>
      </w:pPr>
      <w:r>
        <w:rPr>
          <w:sz w:val="21"/>
        </w:rPr>
        <w:t xml:space="preserve">The predictor matrix contained 42 attributes. The identifier, binary label, and attack-category label were excluded; the </w:t>
      </w:r>
      <w:r>
        <w:rPr>
          <w:sz w:val="21"/>
        </w:rPr>
        <w:lastRenderedPageBreak/>
        <w:t>attack category was retained only for error analysis. Protocol, service, and state were one-hot encoded with unknown-category handling, while numeric features were passed to the tree models without scaling. No test labels informed preprocessing or fitting.</w:t>
      </w:r>
    </w:p>
    <w:p w14:paraId="50A5D168" w14:textId="77777777" w:rsidR="00A64370" w:rsidRDefault="00000000">
      <w:pPr>
        <w:spacing w:after="32" w:line="259" w:lineRule="auto"/>
        <w:ind w:firstLine="259"/>
        <w:jc w:val="both"/>
      </w:pPr>
      <w:r>
        <w:rPr>
          <w:sz w:val="21"/>
        </w:rPr>
        <w:t xml:space="preserve">Figure 1 </w:t>
      </w:r>
      <w:proofErr w:type="spellStart"/>
      <w:r>
        <w:rPr>
          <w:sz w:val="21"/>
        </w:rPr>
        <w:t>summarises</w:t>
      </w:r>
      <w:proofErr w:type="spellEnd"/>
      <w:r>
        <w:rPr>
          <w:sz w:val="21"/>
        </w:rPr>
        <w:t xml:space="preserve"> the implemented workflow from the dataset audit to the comparison of detection and explanation results.</w:t>
      </w:r>
    </w:p>
    <w:p w14:paraId="045F54D5" w14:textId="77777777" w:rsidR="00A64370" w:rsidRDefault="00000000">
      <w:pPr>
        <w:keepNext/>
        <w:keepLines/>
        <w:spacing w:before="40" w:after="40"/>
        <w:jc w:val="center"/>
      </w:pPr>
      <w:r>
        <w:rPr>
          <w:i/>
          <w:sz w:val="16"/>
        </w:rPr>
        <w:t>Fig. 1. Implemented experimental and explanation workflow</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40"/>
        <w:gridCol w:w="3744"/>
      </w:tblGrid>
      <w:tr w:rsidR="00A64370" w14:paraId="6072AD9E" w14:textId="77777777">
        <w:trPr>
          <w:cantSplit/>
          <w:tblHeader/>
          <w:jc w:val="center"/>
        </w:trPr>
        <w:tc>
          <w:tcPr>
            <w:tcW w:w="1440" w:type="dxa"/>
            <w:shd w:val="clear" w:color="auto" w:fill="D9E2F3"/>
            <w:tcMar>
              <w:top w:w="45" w:type="dxa"/>
              <w:left w:w="55" w:type="dxa"/>
              <w:bottom w:w="45" w:type="dxa"/>
              <w:right w:w="55" w:type="dxa"/>
            </w:tcMar>
            <w:vAlign w:val="center"/>
          </w:tcPr>
          <w:p w14:paraId="58461EE2" w14:textId="77777777" w:rsidR="00A64370" w:rsidRDefault="00000000">
            <w:pPr>
              <w:jc w:val="center"/>
            </w:pPr>
            <w:r>
              <w:rPr>
                <w:b/>
                <w:sz w:val="14"/>
              </w:rPr>
              <w:t>Stage</w:t>
            </w:r>
          </w:p>
        </w:tc>
        <w:tc>
          <w:tcPr>
            <w:tcW w:w="3744" w:type="dxa"/>
            <w:shd w:val="clear" w:color="auto" w:fill="D9E2F3"/>
            <w:tcMar>
              <w:top w:w="45" w:type="dxa"/>
              <w:left w:w="55" w:type="dxa"/>
              <w:bottom w:w="45" w:type="dxa"/>
              <w:right w:w="55" w:type="dxa"/>
            </w:tcMar>
            <w:vAlign w:val="center"/>
          </w:tcPr>
          <w:p w14:paraId="151BA416" w14:textId="77777777" w:rsidR="00A64370" w:rsidRDefault="00000000">
            <w:pPr>
              <w:jc w:val="center"/>
            </w:pPr>
            <w:r>
              <w:rPr>
                <w:b/>
                <w:sz w:val="14"/>
              </w:rPr>
              <w:t>Output</w:t>
            </w:r>
          </w:p>
        </w:tc>
      </w:tr>
      <w:tr w:rsidR="00A64370" w14:paraId="669133B5" w14:textId="77777777">
        <w:trPr>
          <w:cantSplit/>
          <w:jc w:val="center"/>
        </w:trPr>
        <w:tc>
          <w:tcPr>
            <w:tcW w:w="1440" w:type="dxa"/>
            <w:tcMar>
              <w:top w:w="45" w:type="dxa"/>
              <w:left w:w="55" w:type="dxa"/>
              <w:bottom w:w="45" w:type="dxa"/>
              <w:right w:w="55" w:type="dxa"/>
            </w:tcMar>
            <w:vAlign w:val="center"/>
          </w:tcPr>
          <w:p w14:paraId="2A7B6722" w14:textId="77777777" w:rsidR="00A64370" w:rsidRDefault="00000000">
            <w:pPr>
              <w:jc w:val="center"/>
            </w:pPr>
            <w:r>
              <w:rPr>
                <w:sz w:val="14"/>
              </w:rPr>
              <w:t>1. Audit and split</w:t>
            </w:r>
          </w:p>
        </w:tc>
        <w:tc>
          <w:tcPr>
            <w:tcW w:w="3744" w:type="dxa"/>
            <w:tcMar>
              <w:top w:w="45" w:type="dxa"/>
              <w:left w:w="55" w:type="dxa"/>
              <w:bottom w:w="45" w:type="dxa"/>
              <w:right w:w="55" w:type="dxa"/>
            </w:tcMar>
            <w:vAlign w:val="center"/>
          </w:tcPr>
          <w:p w14:paraId="5B3049EF" w14:textId="77777777" w:rsidR="00A64370" w:rsidRDefault="00000000">
            <w:r>
              <w:rPr>
                <w:sz w:val="14"/>
              </w:rPr>
              <w:t>Verified schema, counts, labels, and untouched test partition</w:t>
            </w:r>
          </w:p>
        </w:tc>
      </w:tr>
      <w:tr w:rsidR="00A64370" w14:paraId="3776E4F2" w14:textId="77777777">
        <w:trPr>
          <w:cantSplit/>
          <w:jc w:val="center"/>
        </w:trPr>
        <w:tc>
          <w:tcPr>
            <w:tcW w:w="1440" w:type="dxa"/>
            <w:shd w:val="clear" w:color="auto" w:fill="F7F9FC"/>
            <w:tcMar>
              <w:top w:w="45" w:type="dxa"/>
              <w:left w:w="55" w:type="dxa"/>
              <w:bottom w:w="45" w:type="dxa"/>
              <w:right w:w="55" w:type="dxa"/>
            </w:tcMar>
            <w:vAlign w:val="center"/>
          </w:tcPr>
          <w:p w14:paraId="6B799772" w14:textId="77777777" w:rsidR="00A64370" w:rsidRDefault="00000000">
            <w:pPr>
              <w:jc w:val="center"/>
            </w:pPr>
            <w:r>
              <w:rPr>
                <w:sz w:val="14"/>
              </w:rPr>
              <w:t>2. Preprocess</w:t>
            </w:r>
          </w:p>
        </w:tc>
        <w:tc>
          <w:tcPr>
            <w:tcW w:w="3744" w:type="dxa"/>
            <w:shd w:val="clear" w:color="auto" w:fill="F7F9FC"/>
            <w:tcMar>
              <w:top w:w="45" w:type="dxa"/>
              <w:left w:w="55" w:type="dxa"/>
              <w:bottom w:w="45" w:type="dxa"/>
              <w:right w:w="55" w:type="dxa"/>
            </w:tcMar>
            <w:vAlign w:val="center"/>
          </w:tcPr>
          <w:p w14:paraId="32B3D173" w14:textId="77777777" w:rsidR="00A64370" w:rsidRDefault="00000000">
            <w:r>
              <w:rPr>
                <w:sz w:val="14"/>
              </w:rPr>
              <w:t>Training-fitted cleaning, encoding, and feature map</w:t>
            </w:r>
          </w:p>
        </w:tc>
      </w:tr>
      <w:tr w:rsidR="00A64370" w14:paraId="5BB9A864" w14:textId="77777777">
        <w:trPr>
          <w:cantSplit/>
          <w:jc w:val="center"/>
        </w:trPr>
        <w:tc>
          <w:tcPr>
            <w:tcW w:w="1440" w:type="dxa"/>
            <w:tcMar>
              <w:top w:w="45" w:type="dxa"/>
              <w:left w:w="55" w:type="dxa"/>
              <w:bottom w:w="45" w:type="dxa"/>
              <w:right w:w="55" w:type="dxa"/>
            </w:tcMar>
            <w:vAlign w:val="center"/>
          </w:tcPr>
          <w:p w14:paraId="6739EC48" w14:textId="77777777" w:rsidR="00A64370" w:rsidRDefault="00000000">
            <w:pPr>
              <w:jc w:val="center"/>
            </w:pPr>
            <w:r>
              <w:rPr>
                <w:sz w:val="14"/>
              </w:rPr>
              <w:t>3. Train</w:t>
            </w:r>
          </w:p>
        </w:tc>
        <w:tc>
          <w:tcPr>
            <w:tcW w:w="3744" w:type="dxa"/>
            <w:tcMar>
              <w:top w:w="45" w:type="dxa"/>
              <w:left w:w="55" w:type="dxa"/>
              <w:bottom w:w="45" w:type="dxa"/>
              <w:right w:w="55" w:type="dxa"/>
            </w:tcMar>
            <w:vAlign w:val="center"/>
          </w:tcPr>
          <w:p w14:paraId="342A743A" w14:textId="77777777" w:rsidR="00A64370" w:rsidRDefault="00000000">
            <w:r>
              <w:rPr>
                <w:sz w:val="14"/>
              </w:rPr>
              <w:t xml:space="preserve">Tuned Random Forest and </w:t>
            </w:r>
            <w:proofErr w:type="spellStart"/>
            <w:r>
              <w:rPr>
                <w:sz w:val="14"/>
              </w:rPr>
              <w:t>XGBoost</w:t>
            </w:r>
            <w:proofErr w:type="spellEnd"/>
            <w:r>
              <w:rPr>
                <w:sz w:val="14"/>
              </w:rPr>
              <w:t xml:space="preserve"> pipelines</w:t>
            </w:r>
          </w:p>
        </w:tc>
      </w:tr>
      <w:tr w:rsidR="00A64370" w14:paraId="288F6CA9" w14:textId="77777777">
        <w:trPr>
          <w:cantSplit/>
          <w:jc w:val="center"/>
        </w:trPr>
        <w:tc>
          <w:tcPr>
            <w:tcW w:w="1440" w:type="dxa"/>
            <w:shd w:val="clear" w:color="auto" w:fill="F7F9FC"/>
            <w:tcMar>
              <w:top w:w="45" w:type="dxa"/>
              <w:left w:w="55" w:type="dxa"/>
              <w:bottom w:w="45" w:type="dxa"/>
              <w:right w:w="55" w:type="dxa"/>
            </w:tcMar>
            <w:vAlign w:val="center"/>
          </w:tcPr>
          <w:p w14:paraId="7C7DDD90" w14:textId="77777777" w:rsidR="00A64370" w:rsidRDefault="00000000">
            <w:pPr>
              <w:jc w:val="center"/>
            </w:pPr>
            <w:r>
              <w:rPr>
                <w:sz w:val="14"/>
              </w:rPr>
              <w:t>4. Evaluate</w:t>
            </w:r>
          </w:p>
        </w:tc>
        <w:tc>
          <w:tcPr>
            <w:tcW w:w="3744" w:type="dxa"/>
            <w:shd w:val="clear" w:color="auto" w:fill="F7F9FC"/>
            <w:tcMar>
              <w:top w:w="45" w:type="dxa"/>
              <w:left w:w="55" w:type="dxa"/>
              <w:bottom w:w="45" w:type="dxa"/>
              <w:right w:w="55" w:type="dxa"/>
            </w:tcMar>
            <w:vAlign w:val="center"/>
          </w:tcPr>
          <w:p w14:paraId="03A9EA55" w14:textId="77777777" w:rsidR="00A64370" w:rsidRDefault="00000000">
            <w:r>
              <w:rPr>
                <w:sz w:val="14"/>
              </w:rPr>
              <w:t>Probabilities, confusion outcomes, and detection metrics</w:t>
            </w:r>
          </w:p>
        </w:tc>
      </w:tr>
      <w:tr w:rsidR="00A64370" w14:paraId="3CAABFF8" w14:textId="77777777">
        <w:trPr>
          <w:cantSplit/>
          <w:jc w:val="center"/>
        </w:trPr>
        <w:tc>
          <w:tcPr>
            <w:tcW w:w="1440" w:type="dxa"/>
            <w:tcMar>
              <w:top w:w="45" w:type="dxa"/>
              <w:left w:w="55" w:type="dxa"/>
              <w:bottom w:w="45" w:type="dxa"/>
              <w:right w:w="55" w:type="dxa"/>
            </w:tcMar>
            <w:vAlign w:val="center"/>
          </w:tcPr>
          <w:p w14:paraId="21486890" w14:textId="77777777" w:rsidR="00A64370" w:rsidRDefault="00000000">
            <w:pPr>
              <w:jc w:val="center"/>
            </w:pPr>
            <w:r>
              <w:rPr>
                <w:sz w:val="14"/>
              </w:rPr>
              <w:t>5. Explain</w:t>
            </w:r>
          </w:p>
        </w:tc>
        <w:tc>
          <w:tcPr>
            <w:tcW w:w="3744" w:type="dxa"/>
            <w:tcMar>
              <w:top w:w="45" w:type="dxa"/>
              <w:left w:w="55" w:type="dxa"/>
              <w:bottom w:w="45" w:type="dxa"/>
              <w:right w:w="55" w:type="dxa"/>
            </w:tcMar>
            <w:vAlign w:val="center"/>
          </w:tcPr>
          <w:p w14:paraId="71E015A1" w14:textId="77777777" w:rsidR="00A64370" w:rsidRDefault="00000000">
            <w:r>
              <w:rPr>
                <w:sz w:val="14"/>
              </w:rPr>
              <w:t>SHAP and LIME outputs for global and outcome-group samples</w:t>
            </w:r>
          </w:p>
        </w:tc>
      </w:tr>
      <w:tr w:rsidR="00A64370" w14:paraId="11DD178C" w14:textId="77777777">
        <w:trPr>
          <w:cantSplit/>
          <w:jc w:val="center"/>
        </w:trPr>
        <w:tc>
          <w:tcPr>
            <w:tcW w:w="1440" w:type="dxa"/>
            <w:shd w:val="clear" w:color="auto" w:fill="F7F9FC"/>
            <w:tcMar>
              <w:top w:w="45" w:type="dxa"/>
              <w:left w:w="55" w:type="dxa"/>
              <w:bottom w:w="45" w:type="dxa"/>
              <w:right w:w="55" w:type="dxa"/>
            </w:tcMar>
            <w:vAlign w:val="center"/>
          </w:tcPr>
          <w:p w14:paraId="7D9357F2" w14:textId="77777777" w:rsidR="00A64370" w:rsidRDefault="00000000">
            <w:pPr>
              <w:jc w:val="center"/>
            </w:pPr>
            <w:r>
              <w:rPr>
                <w:sz w:val="14"/>
              </w:rPr>
              <w:t>6. Compare</w:t>
            </w:r>
          </w:p>
        </w:tc>
        <w:tc>
          <w:tcPr>
            <w:tcW w:w="3744" w:type="dxa"/>
            <w:shd w:val="clear" w:color="auto" w:fill="F7F9FC"/>
            <w:tcMar>
              <w:top w:w="45" w:type="dxa"/>
              <w:left w:w="55" w:type="dxa"/>
              <w:bottom w:w="45" w:type="dxa"/>
              <w:right w:w="55" w:type="dxa"/>
            </w:tcMar>
            <w:vAlign w:val="center"/>
          </w:tcPr>
          <w:p w14:paraId="18A1CA5D" w14:textId="77777777" w:rsidR="00A64370" w:rsidRDefault="00000000">
            <w:r>
              <w:rPr>
                <w:sz w:val="14"/>
              </w:rPr>
              <w:t>Agreement, stability, fidelity, runtime, and error interpretation</w:t>
            </w:r>
          </w:p>
        </w:tc>
      </w:tr>
    </w:tbl>
    <w:p w14:paraId="69DD0D74" w14:textId="77777777" w:rsidR="00A64370" w:rsidRDefault="00A64370">
      <w:pPr>
        <w:spacing w:after="20"/>
      </w:pPr>
    </w:p>
    <w:p w14:paraId="605A12CD" w14:textId="77777777" w:rsidR="00A64370" w:rsidRDefault="00000000">
      <w:pPr>
        <w:keepNext/>
        <w:keepLines/>
        <w:spacing w:before="60" w:after="20"/>
      </w:pPr>
      <w:r>
        <w:rPr>
          <w:b/>
          <w:sz w:val="21"/>
        </w:rPr>
        <w:t>A. Dataset Description</w:t>
      </w:r>
    </w:p>
    <w:p w14:paraId="7A901F61" w14:textId="77777777" w:rsidR="00A64370" w:rsidRDefault="00000000">
      <w:pPr>
        <w:spacing w:after="32" w:line="259" w:lineRule="auto"/>
        <w:ind w:firstLine="259"/>
        <w:jc w:val="both"/>
      </w:pPr>
      <w:r>
        <w:rPr>
          <w:sz w:val="21"/>
        </w:rPr>
        <w:t>The UNSW-NB15 authors created the dataset in the UNSW Canberra Cyber Range Lab with IXIA PerfectStorm traffic that combines normal activity and simulated attacks [1]. The full release has 2,540,044 records and 49 attributes, including its class label. We use the published files containing 175,341 training records and 82,332 test records. The attack labels cover Analysis, Backdoors, DoS, Exploits, Fuzzers, Generic, Reconnaissance, Shellcode, and Worms [1].</w:t>
      </w:r>
    </w:p>
    <w:p w14:paraId="0610D570" w14:textId="77777777" w:rsidR="00A64370" w:rsidRDefault="00000000">
      <w:pPr>
        <w:spacing w:after="32" w:line="259" w:lineRule="auto"/>
        <w:ind w:firstLine="259"/>
        <w:jc w:val="both"/>
      </w:pPr>
      <w:r>
        <w:rPr>
          <w:sz w:val="21"/>
        </w:rPr>
        <w:t>We treat any attack as the positive outcome and reserve the attack-category field for examining errors after prediction. That field does not enter model fitting. Using the supplied test file gives a repeatable comparison, but the age and laboratory setting of UNSW-NB15 limit how far the observed rates can be extended to a live network.</w:t>
      </w:r>
    </w:p>
    <w:p w14:paraId="4ED8CD47" w14:textId="77777777" w:rsidR="00A64370" w:rsidRDefault="00000000">
      <w:pPr>
        <w:spacing w:after="32" w:line="259" w:lineRule="auto"/>
        <w:ind w:firstLine="259"/>
        <w:jc w:val="both"/>
      </w:pPr>
      <w:r>
        <w:rPr>
          <w:sz w:val="21"/>
        </w:rPr>
        <w:t>A UNSW-NB15 record describes a flow through protocol, service, state, duration, byte totals, and packet counts. Other fields represent content, timing, and activity involving related hosts, services, or ports [1]. This variety gives analysts several ways to interpret an attribution. It also creates dependence among variables: for example, changing duration or packet count without a consistent change in rate can produce a sampled flow that is numerically possible yet operationally implausible.</w:t>
      </w:r>
    </w:p>
    <w:p w14:paraId="6E480158" w14:textId="77777777" w:rsidR="00A64370" w:rsidRDefault="00000000">
      <w:pPr>
        <w:spacing w:after="32" w:line="259" w:lineRule="auto"/>
        <w:ind w:firstLine="259"/>
        <w:jc w:val="both"/>
      </w:pPr>
      <w:r>
        <w:rPr>
          <w:sz w:val="21"/>
        </w:rPr>
        <w:t>The overall binary class totals do not describe the size of every attack category. Consequently, recall calculated over all attacks can conceal a larger miss rate within a smaller category. We report the relevant counts alongside category rates, and avoid strong conclusions where a category has few examples.</w:t>
      </w:r>
    </w:p>
    <w:p w14:paraId="5B688407" w14:textId="77777777" w:rsidR="00A64370" w:rsidRDefault="00000000">
      <w:pPr>
        <w:spacing w:after="32" w:line="259" w:lineRule="auto"/>
        <w:ind w:firstLine="259"/>
        <w:jc w:val="both"/>
        <w:rPr>
          <w:sz w:val="21"/>
        </w:rPr>
      </w:pPr>
      <w:r>
        <w:rPr>
          <w:sz w:val="21"/>
        </w:rPr>
        <w:t>Table II records the dataset partitions and the role assigned to each field group in the experiment.</w:t>
      </w:r>
    </w:p>
    <w:p w14:paraId="487335F8" w14:textId="77777777" w:rsidR="00D778EC" w:rsidRDefault="00D778EC">
      <w:pPr>
        <w:spacing w:after="32" w:line="259" w:lineRule="auto"/>
        <w:ind w:firstLine="259"/>
        <w:jc w:val="both"/>
        <w:rPr>
          <w:sz w:val="21"/>
        </w:rPr>
      </w:pPr>
    </w:p>
    <w:p w14:paraId="042E6BB0" w14:textId="77777777" w:rsidR="00D778EC" w:rsidRDefault="00D778EC">
      <w:pPr>
        <w:spacing w:after="32" w:line="259" w:lineRule="auto"/>
        <w:ind w:firstLine="259"/>
        <w:jc w:val="both"/>
      </w:pPr>
    </w:p>
    <w:p w14:paraId="2F243977" w14:textId="77777777" w:rsidR="00F728FF" w:rsidRDefault="00F728FF">
      <w:pPr>
        <w:spacing w:after="32" w:line="259" w:lineRule="auto"/>
        <w:ind w:firstLine="259"/>
        <w:jc w:val="both"/>
      </w:pPr>
    </w:p>
    <w:p w14:paraId="539DF282" w14:textId="77777777" w:rsidR="00A64370" w:rsidRDefault="00000000">
      <w:pPr>
        <w:keepNext/>
        <w:keepLines/>
        <w:spacing w:before="40" w:after="40"/>
        <w:jc w:val="center"/>
      </w:pPr>
      <w:r>
        <w:rPr>
          <w:i/>
          <w:sz w:val="16"/>
        </w:rPr>
        <w:t>Table II. UNSW-NB15 study profile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12"/>
        <w:gridCol w:w="3600"/>
      </w:tblGrid>
      <w:tr w:rsidR="00A64370" w14:paraId="07A1F0E2" w14:textId="77777777">
        <w:trPr>
          <w:cantSplit/>
          <w:tblHeader/>
          <w:jc w:val="center"/>
        </w:trPr>
        <w:tc>
          <w:tcPr>
            <w:tcW w:w="1512" w:type="dxa"/>
            <w:shd w:val="clear" w:color="auto" w:fill="D9E2F3"/>
            <w:tcMar>
              <w:top w:w="45" w:type="dxa"/>
              <w:left w:w="55" w:type="dxa"/>
              <w:bottom w:w="45" w:type="dxa"/>
              <w:right w:w="55" w:type="dxa"/>
            </w:tcMar>
            <w:vAlign w:val="center"/>
          </w:tcPr>
          <w:p w14:paraId="6D6D49A1" w14:textId="77777777" w:rsidR="00A64370" w:rsidRDefault="00000000">
            <w:pPr>
              <w:jc w:val="center"/>
            </w:pPr>
            <w:r>
              <w:rPr>
                <w:b/>
                <w:sz w:val="14"/>
              </w:rPr>
              <w:t>Property</w:t>
            </w:r>
          </w:p>
        </w:tc>
        <w:tc>
          <w:tcPr>
            <w:tcW w:w="3600" w:type="dxa"/>
            <w:shd w:val="clear" w:color="auto" w:fill="D9E2F3"/>
            <w:tcMar>
              <w:top w:w="45" w:type="dxa"/>
              <w:left w:w="55" w:type="dxa"/>
              <w:bottom w:w="45" w:type="dxa"/>
              <w:right w:w="55" w:type="dxa"/>
            </w:tcMar>
            <w:vAlign w:val="center"/>
          </w:tcPr>
          <w:p w14:paraId="14AE8E9E" w14:textId="77777777" w:rsidR="00A64370" w:rsidRDefault="00000000">
            <w:pPr>
              <w:jc w:val="center"/>
            </w:pPr>
            <w:r>
              <w:rPr>
                <w:b/>
                <w:sz w:val="14"/>
              </w:rPr>
              <w:t>Implemented use</w:t>
            </w:r>
          </w:p>
        </w:tc>
      </w:tr>
      <w:tr w:rsidR="00A64370" w14:paraId="77FCFDC0" w14:textId="77777777">
        <w:trPr>
          <w:cantSplit/>
          <w:jc w:val="center"/>
        </w:trPr>
        <w:tc>
          <w:tcPr>
            <w:tcW w:w="1512" w:type="dxa"/>
            <w:tcMar>
              <w:top w:w="45" w:type="dxa"/>
              <w:left w:w="55" w:type="dxa"/>
              <w:bottom w:w="45" w:type="dxa"/>
              <w:right w:w="55" w:type="dxa"/>
            </w:tcMar>
            <w:vAlign w:val="center"/>
          </w:tcPr>
          <w:p w14:paraId="6AA2CB64" w14:textId="77777777" w:rsidR="00A64370" w:rsidRDefault="00000000">
            <w:pPr>
              <w:jc w:val="center"/>
            </w:pPr>
            <w:r>
              <w:rPr>
                <w:sz w:val="14"/>
              </w:rPr>
              <w:t>Training records</w:t>
            </w:r>
          </w:p>
        </w:tc>
        <w:tc>
          <w:tcPr>
            <w:tcW w:w="3600" w:type="dxa"/>
            <w:tcMar>
              <w:top w:w="45" w:type="dxa"/>
              <w:left w:w="55" w:type="dxa"/>
              <w:bottom w:w="45" w:type="dxa"/>
              <w:right w:w="55" w:type="dxa"/>
            </w:tcMar>
            <w:vAlign w:val="center"/>
          </w:tcPr>
          <w:p w14:paraId="0261AB80" w14:textId="77777777" w:rsidR="00A64370" w:rsidRDefault="00000000">
            <w:r>
              <w:rPr>
                <w:sz w:val="14"/>
              </w:rPr>
              <w:t>175,341; preprocessing, selection, and fitting</w:t>
            </w:r>
          </w:p>
        </w:tc>
      </w:tr>
      <w:tr w:rsidR="00A64370" w14:paraId="5290900F" w14:textId="77777777">
        <w:trPr>
          <w:cantSplit/>
          <w:jc w:val="center"/>
        </w:trPr>
        <w:tc>
          <w:tcPr>
            <w:tcW w:w="1512" w:type="dxa"/>
            <w:shd w:val="clear" w:color="auto" w:fill="F7F9FC"/>
            <w:tcMar>
              <w:top w:w="45" w:type="dxa"/>
              <w:left w:w="55" w:type="dxa"/>
              <w:bottom w:w="45" w:type="dxa"/>
              <w:right w:w="55" w:type="dxa"/>
            </w:tcMar>
            <w:vAlign w:val="center"/>
          </w:tcPr>
          <w:p w14:paraId="3F9FAE0E" w14:textId="77777777" w:rsidR="00A64370" w:rsidRDefault="00000000">
            <w:pPr>
              <w:jc w:val="center"/>
            </w:pPr>
            <w:r>
              <w:rPr>
                <w:sz w:val="14"/>
              </w:rPr>
              <w:t>Test records</w:t>
            </w:r>
          </w:p>
        </w:tc>
        <w:tc>
          <w:tcPr>
            <w:tcW w:w="3600" w:type="dxa"/>
            <w:shd w:val="clear" w:color="auto" w:fill="F7F9FC"/>
            <w:tcMar>
              <w:top w:w="45" w:type="dxa"/>
              <w:left w:w="55" w:type="dxa"/>
              <w:bottom w:w="45" w:type="dxa"/>
              <w:right w:w="55" w:type="dxa"/>
            </w:tcMar>
            <w:vAlign w:val="center"/>
          </w:tcPr>
          <w:p w14:paraId="6BE530DD" w14:textId="77777777" w:rsidR="00A64370" w:rsidRDefault="00000000">
            <w:r>
              <w:rPr>
                <w:sz w:val="14"/>
              </w:rPr>
              <w:t>82,332; final evaluation only</w:t>
            </w:r>
          </w:p>
        </w:tc>
      </w:tr>
      <w:tr w:rsidR="00A64370" w14:paraId="749B404C" w14:textId="77777777">
        <w:trPr>
          <w:cantSplit/>
          <w:jc w:val="center"/>
        </w:trPr>
        <w:tc>
          <w:tcPr>
            <w:tcW w:w="1512" w:type="dxa"/>
            <w:tcMar>
              <w:top w:w="45" w:type="dxa"/>
              <w:left w:w="55" w:type="dxa"/>
              <w:bottom w:w="45" w:type="dxa"/>
              <w:right w:w="55" w:type="dxa"/>
            </w:tcMar>
            <w:vAlign w:val="center"/>
          </w:tcPr>
          <w:p w14:paraId="0EF3805F" w14:textId="77777777" w:rsidR="00A64370" w:rsidRDefault="00000000">
            <w:pPr>
              <w:jc w:val="center"/>
            </w:pPr>
            <w:r>
              <w:rPr>
                <w:sz w:val="14"/>
              </w:rPr>
              <w:t>Prediction task</w:t>
            </w:r>
          </w:p>
        </w:tc>
        <w:tc>
          <w:tcPr>
            <w:tcW w:w="3600" w:type="dxa"/>
            <w:tcMar>
              <w:top w:w="45" w:type="dxa"/>
              <w:left w:w="55" w:type="dxa"/>
              <w:bottom w:w="45" w:type="dxa"/>
              <w:right w:w="55" w:type="dxa"/>
            </w:tcMar>
            <w:vAlign w:val="center"/>
          </w:tcPr>
          <w:p w14:paraId="2E9065B9" w14:textId="77777777" w:rsidR="00A64370" w:rsidRDefault="00000000">
            <w:r>
              <w:rPr>
                <w:sz w:val="14"/>
              </w:rPr>
              <w:t>Benign versus attack</w:t>
            </w:r>
          </w:p>
        </w:tc>
      </w:tr>
      <w:tr w:rsidR="00A64370" w14:paraId="6B5B45B2" w14:textId="77777777">
        <w:trPr>
          <w:cantSplit/>
          <w:jc w:val="center"/>
        </w:trPr>
        <w:tc>
          <w:tcPr>
            <w:tcW w:w="1512" w:type="dxa"/>
            <w:shd w:val="clear" w:color="auto" w:fill="F7F9FC"/>
            <w:tcMar>
              <w:top w:w="45" w:type="dxa"/>
              <w:left w:w="55" w:type="dxa"/>
              <w:bottom w:w="45" w:type="dxa"/>
              <w:right w:w="55" w:type="dxa"/>
            </w:tcMar>
            <w:vAlign w:val="center"/>
          </w:tcPr>
          <w:p w14:paraId="02FE9880" w14:textId="77777777" w:rsidR="00A64370" w:rsidRDefault="00000000">
            <w:pPr>
              <w:jc w:val="center"/>
            </w:pPr>
            <w:r>
              <w:rPr>
                <w:sz w:val="14"/>
              </w:rPr>
              <w:t>Attack category</w:t>
            </w:r>
          </w:p>
        </w:tc>
        <w:tc>
          <w:tcPr>
            <w:tcW w:w="3600" w:type="dxa"/>
            <w:shd w:val="clear" w:color="auto" w:fill="F7F9FC"/>
            <w:tcMar>
              <w:top w:w="45" w:type="dxa"/>
              <w:left w:w="55" w:type="dxa"/>
              <w:bottom w:w="45" w:type="dxa"/>
              <w:right w:w="55" w:type="dxa"/>
            </w:tcMar>
            <w:vAlign w:val="center"/>
          </w:tcPr>
          <w:p w14:paraId="7C2D27C2" w14:textId="77777777" w:rsidR="00A64370" w:rsidRDefault="00000000">
            <w:r>
              <w:rPr>
                <w:sz w:val="14"/>
              </w:rPr>
              <w:t>Evaluation metadata for missed-attack analysis</w:t>
            </w:r>
          </w:p>
        </w:tc>
      </w:tr>
      <w:tr w:rsidR="00A64370" w14:paraId="432F2BE4" w14:textId="77777777">
        <w:trPr>
          <w:cantSplit/>
          <w:jc w:val="center"/>
        </w:trPr>
        <w:tc>
          <w:tcPr>
            <w:tcW w:w="1512" w:type="dxa"/>
            <w:tcMar>
              <w:top w:w="45" w:type="dxa"/>
              <w:left w:w="55" w:type="dxa"/>
              <w:bottom w:w="45" w:type="dxa"/>
              <w:right w:w="55" w:type="dxa"/>
            </w:tcMar>
            <w:vAlign w:val="center"/>
          </w:tcPr>
          <w:p w14:paraId="278DB720" w14:textId="77777777" w:rsidR="00A64370" w:rsidRDefault="00000000">
            <w:pPr>
              <w:jc w:val="center"/>
            </w:pPr>
            <w:r>
              <w:rPr>
                <w:sz w:val="14"/>
              </w:rPr>
              <w:t>Feature types</w:t>
            </w:r>
          </w:p>
        </w:tc>
        <w:tc>
          <w:tcPr>
            <w:tcW w:w="3600" w:type="dxa"/>
            <w:tcMar>
              <w:top w:w="45" w:type="dxa"/>
              <w:left w:w="55" w:type="dxa"/>
              <w:bottom w:w="45" w:type="dxa"/>
              <w:right w:w="55" w:type="dxa"/>
            </w:tcMar>
            <w:vAlign w:val="center"/>
          </w:tcPr>
          <w:p w14:paraId="02B70B0A" w14:textId="77777777" w:rsidR="00A64370" w:rsidRDefault="00000000">
            <w:r>
              <w:rPr>
                <w:sz w:val="14"/>
              </w:rPr>
              <w:t>Numeric and categorical network-flow attributes</w:t>
            </w:r>
          </w:p>
        </w:tc>
      </w:tr>
    </w:tbl>
    <w:p w14:paraId="03B39896" w14:textId="77777777" w:rsidR="00A64370" w:rsidRDefault="00A64370">
      <w:pPr>
        <w:spacing w:after="20"/>
      </w:pPr>
    </w:p>
    <w:p w14:paraId="1BF152F0" w14:textId="77777777" w:rsidR="00A64370" w:rsidRDefault="00000000">
      <w:pPr>
        <w:keepNext/>
        <w:keepLines/>
        <w:spacing w:before="60" w:after="20"/>
      </w:pPr>
      <w:r>
        <w:rPr>
          <w:b/>
          <w:sz w:val="21"/>
        </w:rPr>
        <w:t>B. Data Preprocessing and Feature Selection</w:t>
      </w:r>
    </w:p>
    <w:p w14:paraId="14078D9E" w14:textId="77777777" w:rsidR="00A64370" w:rsidRDefault="00000000">
      <w:pPr>
        <w:spacing w:after="32" w:line="259" w:lineRule="auto"/>
        <w:ind w:firstLine="259"/>
        <w:jc w:val="both"/>
      </w:pPr>
      <w:r>
        <w:rPr>
          <w:sz w:val="21"/>
        </w:rPr>
        <w:t>The supplied files contained 175,341 training rows and 82,332 test rows with the expected 45 columns. The training labels comprised 119,341 attacks and 56,000 benign flows; the test labels comprised 45,332 attacks and 37,000 benign flows. The identifier, label, and attack category did not enter either predictor.</w:t>
      </w:r>
    </w:p>
    <w:p w14:paraId="00D0A45E" w14:textId="77777777" w:rsidR="00A64370" w:rsidRDefault="00000000">
      <w:pPr>
        <w:spacing w:after="32" w:line="259" w:lineRule="auto"/>
        <w:ind w:firstLine="259"/>
        <w:jc w:val="both"/>
      </w:pPr>
      <w:r>
        <w:rPr>
          <w:sz w:val="21"/>
        </w:rPr>
        <w:t>We fitted the one-hot encoder for protocol, service, and state on training records only and configured it to tolerate categories absent from that fit. The other 39 numeric predictors entered the tree models without standardisation. Both saved pipelines include the fitted transformation, ensuring that their test inputs follow the same mapping.</w:t>
      </w:r>
    </w:p>
    <w:p w14:paraId="5F3E65F1" w14:textId="77777777" w:rsidR="00A64370" w:rsidRDefault="00000000">
      <w:pPr>
        <w:spacing w:after="32" w:line="259" w:lineRule="auto"/>
        <w:ind w:firstLine="259"/>
        <w:jc w:val="both"/>
      </w:pPr>
      <w:r>
        <w:rPr>
          <w:sz w:val="21"/>
        </w:rPr>
        <w:t>The experiment retained all 42 predictors and the original class distribution. No resampling, test-set balancing, or test-driven feature selection was performed. This full-feature design keeps the comparison focused on the classifiers and explainers and prevents a feature-selection loop from contaminating the final evaluation.</w:t>
      </w:r>
    </w:p>
    <w:p w14:paraId="77D9A671" w14:textId="77777777" w:rsidR="00A64370" w:rsidRDefault="00000000">
      <w:pPr>
        <w:keepNext/>
        <w:keepLines/>
        <w:spacing w:before="60" w:after="20"/>
      </w:pPr>
      <w:r>
        <w:rPr>
          <w:b/>
          <w:sz w:val="21"/>
        </w:rPr>
        <w:t>C. Machine Learning Models</w:t>
      </w:r>
    </w:p>
    <w:p w14:paraId="73D324D3" w14:textId="77777777" w:rsidR="00A64370" w:rsidRDefault="00000000">
      <w:pPr>
        <w:spacing w:after="32" w:line="259" w:lineRule="auto"/>
        <w:ind w:firstLine="259"/>
        <w:jc w:val="both"/>
      </w:pPr>
      <w:r>
        <w:rPr>
          <w:sz w:val="21"/>
        </w:rPr>
        <w:t>RF combines trees fitted to bootstrap samples with random subsets of predictors [12]. This averaging can make its output less sensitive to any one tree. XGB instead adds trees in sequence, with each stage addressing errors left by the current ensemble; regularisation and subsampling constrain its fit [13]. Both models yield scores suitable for thresholding and support tree-based SHAP, allowing us to compare their explanations under a shared procedure.</w:t>
      </w:r>
    </w:p>
    <w:p w14:paraId="0638A286" w14:textId="77777777" w:rsidR="00A64370" w:rsidRDefault="00000000">
      <w:pPr>
        <w:spacing w:after="32" w:line="259" w:lineRule="auto"/>
        <w:ind w:firstLine="259"/>
        <w:jc w:val="both"/>
      </w:pPr>
      <w:r>
        <w:rPr>
          <w:sz w:val="21"/>
        </w:rPr>
        <w:t>A fixed 20% stratified validation subset of the training file compared three configurations per model using seed 42. The selected Random Forest used 220 trees, unrestricted depth, minimum leaf size two, square-</w:t>
      </w:r>
      <w:proofErr w:type="spellStart"/>
      <w:r>
        <w:rPr>
          <w:sz w:val="21"/>
        </w:rPr>
        <w:t>root</w:t>
      </w:r>
      <w:proofErr w:type="spellEnd"/>
      <w:r>
        <w:rPr>
          <w:sz w:val="21"/>
        </w:rPr>
        <w:t xml:space="preserve"> feature sampling, and balanced bootstrap weights. The selected </w:t>
      </w:r>
      <w:proofErr w:type="spellStart"/>
      <w:r>
        <w:rPr>
          <w:sz w:val="21"/>
        </w:rPr>
        <w:t>XGBoost</w:t>
      </w:r>
      <w:proofErr w:type="spellEnd"/>
      <w:r>
        <w:rPr>
          <w:sz w:val="21"/>
        </w:rPr>
        <w:t xml:space="preserve"> model used 260 trees, depth six, learning rate 0.08, and row and column subsampling of 0.85.</w:t>
      </w:r>
    </w:p>
    <w:p w14:paraId="45BFA980" w14:textId="77777777" w:rsidR="00A64370" w:rsidRDefault="00000000">
      <w:pPr>
        <w:spacing w:after="32" w:line="259" w:lineRule="auto"/>
        <w:ind w:firstLine="259"/>
        <w:jc w:val="both"/>
      </w:pPr>
      <w:r>
        <w:rPr>
          <w:sz w:val="21"/>
        </w:rPr>
        <w:t>Both final pipelines were refitted on all training records and evaluated at the declared 0.5 decision threshold. Continuous scores were retained for ROC-AUC and PR-AUC. No probability calibration was added, so probability magnitudes are interpreted as model scores rather than calibrated event frequencies.</w:t>
      </w:r>
    </w:p>
    <w:p w14:paraId="64D65D87" w14:textId="77777777" w:rsidR="00A64370" w:rsidRDefault="00000000">
      <w:pPr>
        <w:keepNext/>
        <w:keepLines/>
        <w:spacing w:before="60" w:after="20"/>
      </w:pPr>
      <w:r>
        <w:rPr>
          <w:b/>
          <w:sz w:val="21"/>
        </w:rPr>
        <w:t>D. Explainable AI Techniques</w:t>
      </w:r>
    </w:p>
    <w:p w14:paraId="0ECEEF92" w14:textId="77777777" w:rsidR="00A64370" w:rsidRDefault="00000000">
      <w:pPr>
        <w:spacing w:after="32" w:line="259" w:lineRule="auto"/>
        <w:ind w:firstLine="259"/>
        <w:jc w:val="both"/>
      </w:pPr>
      <w:r>
        <w:rPr>
          <w:sz w:val="21"/>
        </w:rPr>
        <w:t xml:space="preserve">Approximate </w:t>
      </w:r>
      <w:proofErr w:type="spellStart"/>
      <w:r>
        <w:rPr>
          <w:sz w:val="21"/>
        </w:rPr>
        <w:t>TreeSHAP</w:t>
      </w:r>
      <w:proofErr w:type="spellEnd"/>
      <w:r>
        <w:rPr>
          <w:sz w:val="21"/>
        </w:rPr>
        <w:t xml:space="preserve"> produced raw-output attributions for each tree ensemble. Contributions from one-hot columns were summed back to their original attributes. Global rankings </w:t>
      </w:r>
      <w:r>
        <w:rPr>
          <w:sz w:val="21"/>
        </w:rPr>
        <w:lastRenderedPageBreak/>
        <w:t>used a label-stratified sample of 1,000 test records, containing 500 benign and 500 attack flows.</w:t>
      </w:r>
    </w:p>
    <w:p w14:paraId="33C95A41" w14:textId="77777777" w:rsidR="00A64370" w:rsidRDefault="00000000">
      <w:pPr>
        <w:spacing w:after="32" w:line="259" w:lineRule="auto"/>
        <w:ind w:firstLine="259"/>
        <w:jc w:val="both"/>
      </w:pPr>
      <w:r>
        <w:rPr>
          <w:sz w:val="21"/>
        </w:rPr>
        <w:t>LIME called each complete preprocessing-and-model pipeline. Categorical perturbations were constrained to observed protocol, service, and state values. Each explanation used 1,500 perturbations. Its local surrogate R² was retained as fidelity evidence rather than assuming the surrogate matched the classifier.</w:t>
      </w:r>
    </w:p>
    <w:p w14:paraId="4E983B84" w14:textId="77777777" w:rsidR="00A64370" w:rsidRDefault="00000000">
      <w:pPr>
        <w:spacing w:after="32" w:line="259" w:lineRule="auto"/>
        <w:ind w:firstLine="259"/>
        <w:jc w:val="both"/>
      </w:pPr>
      <w:r>
        <w:rPr>
          <w:sz w:val="21"/>
        </w:rPr>
        <w:t>For each model, we selected 15 records with a fixed seed from each of the TP, TN, FP, and FN groups. We compared the sets of five leading SHAP and LIME features using Jaccard overlap. A separate stability check reran LIME with three seeds on five records per group. We also repeated TreeSHAP with identical inputs and settings. Because that tree-path calculation is deterministic, the latter check establishes repeatability under fixed conditions, not robustness to a new background distribution.</w:t>
      </w:r>
    </w:p>
    <w:p w14:paraId="413010DE" w14:textId="77777777" w:rsidR="00A64370" w:rsidRDefault="00000000">
      <w:pPr>
        <w:keepNext/>
        <w:keepLines/>
        <w:spacing w:before="60" w:after="20"/>
      </w:pPr>
      <w:r>
        <w:rPr>
          <w:b/>
          <w:sz w:val="21"/>
        </w:rPr>
        <w:t>E. Experimental Setup</w:t>
      </w:r>
    </w:p>
    <w:p w14:paraId="6C03ED49" w14:textId="77777777" w:rsidR="00A64370" w:rsidRDefault="00000000">
      <w:pPr>
        <w:spacing w:after="32" w:line="259" w:lineRule="auto"/>
        <w:ind w:firstLine="259"/>
        <w:jc w:val="both"/>
      </w:pPr>
      <w:r>
        <w:rPr>
          <w:sz w:val="21"/>
        </w:rPr>
        <w:t>Experiments ran on Windows 11 with Python 3.12.14, scikit-learn 1.9.1, XGBoost 3.4.1, SHAP 0.52.0, and LIME 0.2.0.1; the random seed was 42. Model selection used only training data. We chose the decision threshold of 0.5 before calculating scores on the official test file.</w:t>
      </w:r>
    </w:p>
    <w:p w14:paraId="6DB30526" w14:textId="77777777" w:rsidR="00A64370" w:rsidRDefault="00000000">
      <w:pPr>
        <w:spacing w:after="32" w:line="259" w:lineRule="auto"/>
        <w:ind w:firstLine="259"/>
        <w:jc w:val="both"/>
      </w:pPr>
      <w:r>
        <w:rPr>
          <w:sz w:val="21"/>
        </w:rPr>
        <w:t>Case selection operated on saved predictions, making each reported explanation traceable to a test record. We sampled equally from the four outcomes to support comparisons, so that sample does not represent their prevalence in ordinary traffic. Timings came from the implemented batch SHAP operation and separate LIME calls on one machine; they describe this workflow rather than a portable hardware benchmark.</w:t>
      </w:r>
    </w:p>
    <w:p w14:paraId="07D977EC" w14:textId="77777777" w:rsidR="00A64370" w:rsidRDefault="00000000">
      <w:pPr>
        <w:keepNext/>
        <w:keepLines/>
        <w:spacing w:before="60" w:after="20"/>
      </w:pPr>
      <w:r>
        <w:rPr>
          <w:b/>
          <w:sz w:val="21"/>
        </w:rPr>
        <w:t>F. Evaluation Metrics</w:t>
      </w:r>
    </w:p>
    <w:p w14:paraId="3CDA489D" w14:textId="77777777" w:rsidR="00A64370" w:rsidRDefault="00000000">
      <w:pPr>
        <w:spacing w:after="32" w:line="259" w:lineRule="auto"/>
        <w:ind w:firstLine="259"/>
        <w:jc w:val="both"/>
      </w:pPr>
      <w:r>
        <w:rPr>
          <w:sz w:val="21"/>
        </w:rPr>
        <w:t>We report accuracy, precision, recall, F1, false-positive rate, ROC-AUC, and PR-AUC for detection. With attacks designated positive, precision is TP/(TP+FP), recall is TP/(TP+FN), and false-positive rate is FP/(FP+TN); F1 combines precision and recall through their harmonic mean. We also provide confusion counts and attack-category misses so that readers can see the denominators behind the summary rates.</w:t>
      </w:r>
    </w:p>
    <w:p w14:paraId="1D208B80" w14:textId="77777777" w:rsidR="00A64370" w:rsidRDefault="00000000">
      <w:pPr>
        <w:spacing w:after="32" w:line="259" w:lineRule="auto"/>
        <w:ind w:firstLine="259"/>
        <w:jc w:val="both"/>
      </w:pPr>
      <w:r>
        <w:rPr>
          <w:sz w:val="21"/>
        </w:rPr>
        <w:t>For explanations, we calculated top-five Jaccard overlap, sign agreement for features shared by both methods, the R² of each LIME surrogate, stability over seeded LIME runs, repeatability of fixed-input TreeSHAP calls, and median processing time. These measures describe different properties of the displayed account. Even a stable account that agrees across methods is still an account of model behaviour, not proof of network causation.</w:t>
      </w:r>
    </w:p>
    <w:p w14:paraId="04946686" w14:textId="77777777" w:rsidR="00A64370" w:rsidRDefault="00A64370">
      <w:pPr>
        <w:sectPr w:rsidR="00A64370">
          <w:type w:val="continuous"/>
          <w:pgSz w:w="12240" w:h="15840" w:code="1"/>
          <w:pgMar w:top="893" w:right="720" w:bottom="792" w:left="720" w:header="360" w:footer="360" w:gutter="0"/>
          <w:cols w:num="2" w:space="288"/>
          <w:docGrid w:linePitch="360"/>
        </w:sectPr>
      </w:pPr>
    </w:p>
    <w:p w14:paraId="4C2DDEEC" w14:textId="77777777" w:rsidR="00A64370" w:rsidRPr="00D778EC" w:rsidRDefault="00000000">
      <w:pPr>
        <w:keepNext/>
        <w:keepLines/>
        <w:spacing w:before="100" w:after="40"/>
        <w:jc w:val="center"/>
        <w:rPr>
          <w:b/>
          <w:bCs/>
        </w:rPr>
      </w:pPr>
      <w:r w:rsidRPr="00D778EC">
        <w:rPr>
          <w:b/>
          <w:bCs/>
          <w:sz w:val="21"/>
        </w:rPr>
        <w:t>VI. RESULTS AND ANALYSIS</w:t>
      </w:r>
    </w:p>
    <w:p w14:paraId="16CDDF13" w14:textId="77777777" w:rsidR="00A64370" w:rsidRDefault="00000000">
      <w:pPr>
        <w:keepNext/>
        <w:keepLines/>
        <w:spacing w:before="40" w:after="40"/>
        <w:jc w:val="center"/>
      </w:pPr>
      <w:r>
        <w:rPr>
          <w:i/>
          <w:sz w:val="16"/>
        </w:rPr>
        <w:t>Table III. Test performance on 82,332 records at threshold 0.5</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84"/>
        <w:gridCol w:w="1123"/>
        <w:gridCol w:w="979"/>
        <w:gridCol w:w="979"/>
        <w:gridCol w:w="893"/>
        <w:gridCol w:w="893"/>
        <w:gridCol w:w="1094"/>
        <w:gridCol w:w="1094"/>
      </w:tblGrid>
      <w:tr w:rsidR="00A64370" w14:paraId="4304871E" w14:textId="77777777">
        <w:trPr>
          <w:cantSplit/>
          <w:tblHeader/>
          <w:jc w:val="center"/>
        </w:trPr>
        <w:tc>
          <w:tcPr>
            <w:tcW w:w="1584" w:type="dxa"/>
            <w:shd w:val="clear" w:color="auto" w:fill="D9E2F3"/>
            <w:tcMar>
              <w:top w:w="45" w:type="dxa"/>
              <w:left w:w="55" w:type="dxa"/>
              <w:bottom w:w="45" w:type="dxa"/>
              <w:right w:w="55" w:type="dxa"/>
            </w:tcMar>
            <w:vAlign w:val="center"/>
          </w:tcPr>
          <w:p w14:paraId="72F39F7C" w14:textId="77777777" w:rsidR="00A64370" w:rsidRDefault="00000000">
            <w:pPr>
              <w:jc w:val="center"/>
            </w:pPr>
            <w:r>
              <w:rPr>
                <w:b/>
                <w:sz w:val="14"/>
              </w:rPr>
              <w:t>Model</w:t>
            </w:r>
          </w:p>
        </w:tc>
        <w:tc>
          <w:tcPr>
            <w:tcW w:w="1123" w:type="dxa"/>
            <w:shd w:val="clear" w:color="auto" w:fill="D9E2F3"/>
            <w:tcMar>
              <w:top w:w="45" w:type="dxa"/>
              <w:left w:w="55" w:type="dxa"/>
              <w:bottom w:w="45" w:type="dxa"/>
              <w:right w:w="55" w:type="dxa"/>
            </w:tcMar>
            <w:vAlign w:val="center"/>
          </w:tcPr>
          <w:p w14:paraId="073A521C" w14:textId="77777777" w:rsidR="00A64370" w:rsidRDefault="00000000">
            <w:pPr>
              <w:jc w:val="center"/>
            </w:pPr>
            <w:r>
              <w:rPr>
                <w:b/>
                <w:sz w:val="14"/>
              </w:rPr>
              <w:t>Accuracy</w:t>
            </w:r>
          </w:p>
        </w:tc>
        <w:tc>
          <w:tcPr>
            <w:tcW w:w="979" w:type="dxa"/>
            <w:shd w:val="clear" w:color="auto" w:fill="D9E2F3"/>
            <w:tcMar>
              <w:top w:w="45" w:type="dxa"/>
              <w:left w:w="55" w:type="dxa"/>
              <w:bottom w:w="45" w:type="dxa"/>
              <w:right w:w="55" w:type="dxa"/>
            </w:tcMar>
            <w:vAlign w:val="center"/>
          </w:tcPr>
          <w:p w14:paraId="636CAB9A" w14:textId="77777777" w:rsidR="00A64370" w:rsidRDefault="00000000">
            <w:pPr>
              <w:jc w:val="center"/>
            </w:pPr>
            <w:r>
              <w:rPr>
                <w:b/>
                <w:sz w:val="14"/>
              </w:rPr>
              <w:t>Prec.</w:t>
            </w:r>
          </w:p>
        </w:tc>
        <w:tc>
          <w:tcPr>
            <w:tcW w:w="979" w:type="dxa"/>
            <w:shd w:val="clear" w:color="auto" w:fill="D9E2F3"/>
            <w:tcMar>
              <w:top w:w="45" w:type="dxa"/>
              <w:left w:w="55" w:type="dxa"/>
              <w:bottom w:w="45" w:type="dxa"/>
              <w:right w:w="55" w:type="dxa"/>
            </w:tcMar>
            <w:vAlign w:val="center"/>
          </w:tcPr>
          <w:p w14:paraId="5B000BF5" w14:textId="77777777" w:rsidR="00A64370" w:rsidRDefault="00000000">
            <w:pPr>
              <w:jc w:val="center"/>
            </w:pPr>
            <w:r>
              <w:rPr>
                <w:b/>
                <w:sz w:val="14"/>
              </w:rPr>
              <w:t>Recall</w:t>
            </w:r>
          </w:p>
        </w:tc>
        <w:tc>
          <w:tcPr>
            <w:tcW w:w="893" w:type="dxa"/>
            <w:shd w:val="clear" w:color="auto" w:fill="D9E2F3"/>
            <w:tcMar>
              <w:top w:w="45" w:type="dxa"/>
              <w:left w:w="55" w:type="dxa"/>
              <w:bottom w:w="45" w:type="dxa"/>
              <w:right w:w="55" w:type="dxa"/>
            </w:tcMar>
            <w:vAlign w:val="center"/>
          </w:tcPr>
          <w:p w14:paraId="2BD7AE1E" w14:textId="77777777" w:rsidR="00A64370" w:rsidRDefault="00000000">
            <w:pPr>
              <w:jc w:val="center"/>
            </w:pPr>
            <w:r>
              <w:rPr>
                <w:b/>
                <w:sz w:val="14"/>
              </w:rPr>
              <w:t>F1</w:t>
            </w:r>
          </w:p>
        </w:tc>
        <w:tc>
          <w:tcPr>
            <w:tcW w:w="893" w:type="dxa"/>
            <w:shd w:val="clear" w:color="auto" w:fill="D9E2F3"/>
            <w:tcMar>
              <w:top w:w="45" w:type="dxa"/>
              <w:left w:w="55" w:type="dxa"/>
              <w:bottom w:w="45" w:type="dxa"/>
              <w:right w:w="55" w:type="dxa"/>
            </w:tcMar>
            <w:vAlign w:val="center"/>
          </w:tcPr>
          <w:p w14:paraId="0C3F6EE5" w14:textId="77777777" w:rsidR="00A64370" w:rsidRDefault="00000000">
            <w:pPr>
              <w:jc w:val="center"/>
            </w:pPr>
            <w:r>
              <w:rPr>
                <w:b/>
                <w:sz w:val="14"/>
              </w:rPr>
              <w:t>FPR</w:t>
            </w:r>
          </w:p>
        </w:tc>
        <w:tc>
          <w:tcPr>
            <w:tcW w:w="1094" w:type="dxa"/>
            <w:shd w:val="clear" w:color="auto" w:fill="D9E2F3"/>
            <w:tcMar>
              <w:top w:w="45" w:type="dxa"/>
              <w:left w:w="55" w:type="dxa"/>
              <w:bottom w:w="45" w:type="dxa"/>
              <w:right w:w="55" w:type="dxa"/>
            </w:tcMar>
            <w:vAlign w:val="center"/>
          </w:tcPr>
          <w:p w14:paraId="788E114B" w14:textId="77777777" w:rsidR="00A64370" w:rsidRDefault="00000000">
            <w:pPr>
              <w:jc w:val="center"/>
            </w:pPr>
            <w:r>
              <w:rPr>
                <w:b/>
                <w:sz w:val="14"/>
              </w:rPr>
              <w:t>ROC-AUC</w:t>
            </w:r>
          </w:p>
        </w:tc>
        <w:tc>
          <w:tcPr>
            <w:tcW w:w="1094" w:type="dxa"/>
            <w:shd w:val="clear" w:color="auto" w:fill="D9E2F3"/>
            <w:tcMar>
              <w:top w:w="45" w:type="dxa"/>
              <w:left w:w="55" w:type="dxa"/>
              <w:bottom w:w="45" w:type="dxa"/>
              <w:right w:w="55" w:type="dxa"/>
            </w:tcMar>
            <w:vAlign w:val="center"/>
          </w:tcPr>
          <w:p w14:paraId="7D3A5CBC" w14:textId="77777777" w:rsidR="00A64370" w:rsidRDefault="00000000">
            <w:pPr>
              <w:jc w:val="center"/>
            </w:pPr>
            <w:r>
              <w:rPr>
                <w:b/>
                <w:sz w:val="14"/>
              </w:rPr>
              <w:t>PR-AUC</w:t>
            </w:r>
          </w:p>
        </w:tc>
      </w:tr>
      <w:tr w:rsidR="00A64370" w14:paraId="67055F2F" w14:textId="77777777">
        <w:trPr>
          <w:cantSplit/>
          <w:jc w:val="center"/>
        </w:trPr>
        <w:tc>
          <w:tcPr>
            <w:tcW w:w="1584" w:type="dxa"/>
            <w:tcMar>
              <w:top w:w="45" w:type="dxa"/>
              <w:left w:w="55" w:type="dxa"/>
              <w:bottom w:w="45" w:type="dxa"/>
              <w:right w:w="55" w:type="dxa"/>
            </w:tcMar>
            <w:vAlign w:val="center"/>
          </w:tcPr>
          <w:p w14:paraId="1FC05641" w14:textId="77777777" w:rsidR="00A64370" w:rsidRDefault="00000000">
            <w:pPr>
              <w:jc w:val="center"/>
            </w:pPr>
            <w:r>
              <w:rPr>
                <w:sz w:val="14"/>
              </w:rPr>
              <w:t>Random Forest</w:t>
            </w:r>
          </w:p>
        </w:tc>
        <w:tc>
          <w:tcPr>
            <w:tcW w:w="1123" w:type="dxa"/>
            <w:tcMar>
              <w:top w:w="45" w:type="dxa"/>
              <w:left w:w="55" w:type="dxa"/>
              <w:bottom w:w="45" w:type="dxa"/>
              <w:right w:w="55" w:type="dxa"/>
            </w:tcMar>
            <w:vAlign w:val="center"/>
          </w:tcPr>
          <w:p w14:paraId="30B9B29D" w14:textId="77777777" w:rsidR="00A64370" w:rsidRDefault="00000000">
            <w:r>
              <w:rPr>
                <w:sz w:val="14"/>
              </w:rPr>
              <w:t>0.8872</w:t>
            </w:r>
          </w:p>
        </w:tc>
        <w:tc>
          <w:tcPr>
            <w:tcW w:w="979" w:type="dxa"/>
            <w:tcMar>
              <w:top w:w="45" w:type="dxa"/>
              <w:left w:w="55" w:type="dxa"/>
              <w:bottom w:w="45" w:type="dxa"/>
              <w:right w:w="55" w:type="dxa"/>
            </w:tcMar>
            <w:vAlign w:val="center"/>
          </w:tcPr>
          <w:p w14:paraId="5F05F0F3" w14:textId="77777777" w:rsidR="00A64370" w:rsidRDefault="00000000">
            <w:r>
              <w:rPr>
                <w:sz w:val="14"/>
              </w:rPr>
              <w:t>0.8403</w:t>
            </w:r>
          </w:p>
        </w:tc>
        <w:tc>
          <w:tcPr>
            <w:tcW w:w="979" w:type="dxa"/>
            <w:tcMar>
              <w:top w:w="45" w:type="dxa"/>
              <w:left w:w="55" w:type="dxa"/>
              <w:bottom w:w="45" w:type="dxa"/>
              <w:right w:w="55" w:type="dxa"/>
            </w:tcMar>
            <w:vAlign w:val="center"/>
          </w:tcPr>
          <w:p w14:paraId="01F971CC" w14:textId="77777777" w:rsidR="00A64370" w:rsidRDefault="00000000">
            <w:r>
              <w:rPr>
                <w:sz w:val="14"/>
              </w:rPr>
              <w:t>0.9818</w:t>
            </w:r>
          </w:p>
        </w:tc>
        <w:tc>
          <w:tcPr>
            <w:tcW w:w="893" w:type="dxa"/>
            <w:tcMar>
              <w:top w:w="45" w:type="dxa"/>
              <w:left w:w="55" w:type="dxa"/>
              <w:bottom w:w="45" w:type="dxa"/>
              <w:right w:w="55" w:type="dxa"/>
            </w:tcMar>
            <w:vAlign w:val="center"/>
          </w:tcPr>
          <w:p w14:paraId="598F5894" w14:textId="77777777" w:rsidR="00A64370" w:rsidRDefault="00000000">
            <w:r>
              <w:rPr>
                <w:sz w:val="14"/>
              </w:rPr>
              <w:t>0.9055</w:t>
            </w:r>
          </w:p>
        </w:tc>
        <w:tc>
          <w:tcPr>
            <w:tcW w:w="893" w:type="dxa"/>
            <w:tcMar>
              <w:top w:w="45" w:type="dxa"/>
              <w:left w:w="55" w:type="dxa"/>
              <w:bottom w:w="45" w:type="dxa"/>
              <w:right w:w="55" w:type="dxa"/>
            </w:tcMar>
            <w:vAlign w:val="center"/>
          </w:tcPr>
          <w:p w14:paraId="6B460BD1" w14:textId="77777777" w:rsidR="00A64370" w:rsidRDefault="00000000">
            <w:r>
              <w:rPr>
                <w:sz w:val="14"/>
              </w:rPr>
              <w:t>0.2287</w:t>
            </w:r>
          </w:p>
        </w:tc>
        <w:tc>
          <w:tcPr>
            <w:tcW w:w="1094" w:type="dxa"/>
            <w:tcMar>
              <w:top w:w="45" w:type="dxa"/>
              <w:left w:w="55" w:type="dxa"/>
              <w:bottom w:w="45" w:type="dxa"/>
              <w:right w:w="55" w:type="dxa"/>
            </w:tcMar>
            <w:vAlign w:val="center"/>
          </w:tcPr>
          <w:p w14:paraId="794050E6" w14:textId="77777777" w:rsidR="00A64370" w:rsidRDefault="00000000">
            <w:r>
              <w:rPr>
                <w:sz w:val="14"/>
              </w:rPr>
              <w:t>0.9840</w:t>
            </w:r>
          </w:p>
        </w:tc>
        <w:tc>
          <w:tcPr>
            <w:tcW w:w="1094" w:type="dxa"/>
            <w:tcMar>
              <w:top w:w="45" w:type="dxa"/>
              <w:left w:w="55" w:type="dxa"/>
              <w:bottom w:w="45" w:type="dxa"/>
              <w:right w:w="55" w:type="dxa"/>
            </w:tcMar>
            <w:vAlign w:val="center"/>
          </w:tcPr>
          <w:p w14:paraId="336C910D" w14:textId="77777777" w:rsidR="00A64370" w:rsidRDefault="00000000">
            <w:r>
              <w:rPr>
                <w:sz w:val="14"/>
              </w:rPr>
              <w:t>0.9880</w:t>
            </w:r>
          </w:p>
        </w:tc>
      </w:tr>
      <w:tr w:rsidR="00A64370" w14:paraId="62EF08A4" w14:textId="77777777">
        <w:trPr>
          <w:cantSplit/>
          <w:jc w:val="center"/>
        </w:trPr>
        <w:tc>
          <w:tcPr>
            <w:tcW w:w="1584" w:type="dxa"/>
            <w:shd w:val="clear" w:color="auto" w:fill="F7F9FC"/>
            <w:tcMar>
              <w:top w:w="45" w:type="dxa"/>
              <w:left w:w="55" w:type="dxa"/>
              <w:bottom w:w="45" w:type="dxa"/>
              <w:right w:w="55" w:type="dxa"/>
            </w:tcMar>
            <w:vAlign w:val="center"/>
          </w:tcPr>
          <w:p w14:paraId="54218882" w14:textId="77777777" w:rsidR="00A64370" w:rsidRDefault="00000000">
            <w:pPr>
              <w:jc w:val="center"/>
            </w:pPr>
            <w:proofErr w:type="spellStart"/>
            <w:r>
              <w:rPr>
                <w:sz w:val="14"/>
              </w:rPr>
              <w:t>XGBoost</w:t>
            </w:r>
            <w:proofErr w:type="spellEnd"/>
          </w:p>
        </w:tc>
        <w:tc>
          <w:tcPr>
            <w:tcW w:w="1123" w:type="dxa"/>
            <w:shd w:val="clear" w:color="auto" w:fill="F7F9FC"/>
            <w:tcMar>
              <w:top w:w="45" w:type="dxa"/>
              <w:left w:w="55" w:type="dxa"/>
              <w:bottom w:w="45" w:type="dxa"/>
              <w:right w:w="55" w:type="dxa"/>
            </w:tcMar>
            <w:vAlign w:val="center"/>
          </w:tcPr>
          <w:p w14:paraId="257EB56D" w14:textId="77777777" w:rsidR="00A64370" w:rsidRDefault="00000000">
            <w:r>
              <w:rPr>
                <w:sz w:val="14"/>
              </w:rPr>
              <w:t>0.8745</w:t>
            </w:r>
          </w:p>
        </w:tc>
        <w:tc>
          <w:tcPr>
            <w:tcW w:w="979" w:type="dxa"/>
            <w:shd w:val="clear" w:color="auto" w:fill="F7F9FC"/>
            <w:tcMar>
              <w:top w:w="45" w:type="dxa"/>
              <w:left w:w="55" w:type="dxa"/>
              <w:bottom w:w="45" w:type="dxa"/>
              <w:right w:w="55" w:type="dxa"/>
            </w:tcMar>
            <w:vAlign w:val="center"/>
          </w:tcPr>
          <w:p w14:paraId="0902D40B" w14:textId="77777777" w:rsidR="00A64370" w:rsidRDefault="00000000">
            <w:r>
              <w:rPr>
                <w:sz w:val="14"/>
              </w:rPr>
              <w:t>0.8232</w:t>
            </w:r>
          </w:p>
        </w:tc>
        <w:tc>
          <w:tcPr>
            <w:tcW w:w="979" w:type="dxa"/>
            <w:shd w:val="clear" w:color="auto" w:fill="F7F9FC"/>
            <w:tcMar>
              <w:top w:w="45" w:type="dxa"/>
              <w:left w:w="55" w:type="dxa"/>
              <w:bottom w:w="45" w:type="dxa"/>
              <w:right w:w="55" w:type="dxa"/>
            </w:tcMar>
            <w:vAlign w:val="center"/>
          </w:tcPr>
          <w:p w14:paraId="4C8D5B60" w14:textId="77777777" w:rsidR="00A64370" w:rsidRDefault="00000000">
            <w:r>
              <w:rPr>
                <w:sz w:val="14"/>
              </w:rPr>
              <w:t>0.9833</w:t>
            </w:r>
          </w:p>
        </w:tc>
        <w:tc>
          <w:tcPr>
            <w:tcW w:w="893" w:type="dxa"/>
            <w:shd w:val="clear" w:color="auto" w:fill="F7F9FC"/>
            <w:tcMar>
              <w:top w:w="45" w:type="dxa"/>
              <w:left w:w="55" w:type="dxa"/>
              <w:bottom w:w="45" w:type="dxa"/>
              <w:right w:w="55" w:type="dxa"/>
            </w:tcMar>
            <w:vAlign w:val="center"/>
          </w:tcPr>
          <w:p w14:paraId="65F7403F" w14:textId="77777777" w:rsidR="00A64370" w:rsidRDefault="00000000">
            <w:r>
              <w:rPr>
                <w:sz w:val="14"/>
              </w:rPr>
              <w:t>0.8962</w:t>
            </w:r>
          </w:p>
        </w:tc>
        <w:tc>
          <w:tcPr>
            <w:tcW w:w="893" w:type="dxa"/>
            <w:shd w:val="clear" w:color="auto" w:fill="F7F9FC"/>
            <w:tcMar>
              <w:top w:w="45" w:type="dxa"/>
              <w:left w:w="55" w:type="dxa"/>
              <w:bottom w:w="45" w:type="dxa"/>
              <w:right w:w="55" w:type="dxa"/>
            </w:tcMar>
            <w:vAlign w:val="center"/>
          </w:tcPr>
          <w:p w14:paraId="5968B0F0" w14:textId="77777777" w:rsidR="00A64370" w:rsidRDefault="00000000">
            <w:r>
              <w:rPr>
                <w:sz w:val="14"/>
              </w:rPr>
              <w:t>0.2587</w:t>
            </w:r>
          </w:p>
        </w:tc>
        <w:tc>
          <w:tcPr>
            <w:tcW w:w="1094" w:type="dxa"/>
            <w:shd w:val="clear" w:color="auto" w:fill="F7F9FC"/>
            <w:tcMar>
              <w:top w:w="45" w:type="dxa"/>
              <w:left w:w="55" w:type="dxa"/>
              <w:bottom w:w="45" w:type="dxa"/>
              <w:right w:w="55" w:type="dxa"/>
            </w:tcMar>
            <w:vAlign w:val="center"/>
          </w:tcPr>
          <w:p w14:paraId="2058D14A" w14:textId="77777777" w:rsidR="00A64370" w:rsidRDefault="00000000">
            <w:r>
              <w:rPr>
                <w:sz w:val="14"/>
              </w:rPr>
              <w:t>0.9840</w:t>
            </w:r>
          </w:p>
        </w:tc>
        <w:tc>
          <w:tcPr>
            <w:tcW w:w="1094" w:type="dxa"/>
            <w:shd w:val="clear" w:color="auto" w:fill="F7F9FC"/>
            <w:tcMar>
              <w:top w:w="45" w:type="dxa"/>
              <w:left w:w="55" w:type="dxa"/>
              <w:bottom w:w="45" w:type="dxa"/>
              <w:right w:w="55" w:type="dxa"/>
            </w:tcMar>
            <w:vAlign w:val="center"/>
          </w:tcPr>
          <w:p w14:paraId="0A61BF28" w14:textId="77777777" w:rsidR="00A64370" w:rsidRDefault="00000000">
            <w:r>
              <w:rPr>
                <w:sz w:val="14"/>
              </w:rPr>
              <w:t>0.9884</w:t>
            </w:r>
          </w:p>
        </w:tc>
      </w:tr>
    </w:tbl>
    <w:p w14:paraId="072B74BE" w14:textId="77777777" w:rsidR="00A64370" w:rsidRDefault="00A64370">
      <w:pPr>
        <w:spacing w:after="20"/>
      </w:pPr>
    </w:p>
    <w:p w14:paraId="292A457D" w14:textId="77777777" w:rsidR="00A64370" w:rsidRDefault="00000000">
      <w:pPr>
        <w:spacing w:after="32" w:line="259" w:lineRule="auto"/>
        <w:ind w:firstLine="259"/>
        <w:jc w:val="both"/>
      </w:pPr>
      <w:r>
        <w:rPr>
          <w:sz w:val="21"/>
        </w:rPr>
        <w:t>Table III gives the test results at the fixed threshold. RF yielded 28,538 TN, 8,462 FP, 823 FN, and 44,509 TP; XGB yielded 27,428 TN, 9,572 FP, 758 FN, and 44,574 TP. Thus XGB found 65 attacks that RF missed, at the cost of 1,110 additional false alarms. RF had higher accuracy, precision, and F1. ROC-AUC was nearly the same, while XGB held a slight PR-AUC advantage. The ROC, precision-recall, and threshold-specific views appear in Figure 2.</w:t>
      </w:r>
    </w:p>
    <w:p w14:paraId="55B8832F" w14:textId="77777777" w:rsidR="00A64370" w:rsidRDefault="00000000">
      <w:pPr>
        <w:spacing w:after="20"/>
        <w:jc w:val="center"/>
      </w:pPr>
      <w:r>
        <w:rPr>
          <w:noProof/>
        </w:rPr>
        <w:drawing>
          <wp:inline distT="0" distB="0" distL="0" distR="0" wp14:anchorId="70F48ABD" wp14:editId="707B6FC4">
            <wp:extent cx="6492240" cy="18067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png"/>
                    <pic:cNvPicPr/>
                  </pic:nvPicPr>
                  <pic:blipFill>
                    <a:blip r:embed="rId9"/>
                    <a:stretch>
                      <a:fillRect/>
                    </a:stretch>
                  </pic:blipFill>
                  <pic:spPr>
                    <a:xfrm>
                      <a:off x="0" y="0"/>
                      <a:ext cx="6492240" cy="1806709"/>
                    </a:xfrm>
                    <a:prstGeom prst="rect">
                      <a:avLst/>
                    </a:prstGeom>
                  </pic:spPr>
                </pic:pic>
              </a:graphicData>
            </a:graphic>
          </wp:inline>
        </w:drawing>
      </w:r>
    </w:p>
    <w:p w14:paraId="228D7373" w14:textId="77777777" w:rsidR="00A64370" w:rsidRDefault="00000000">
      <w:pPr>
        <w:keepLines/>
        <w:spacing w:before="20" w:after="40"/>
        <w:jc w:val="center"/>
      </w:pPr>
      <w:r>
        <w:rPr>
          <w:i/>
          <w:sz w:val="16"/>
        </w:rPr>
        <w:t>Fig. 2. ROC, precision-recall, and fixed-threshold performance on the official test split</w:t>
      </w:r>
    </w:p>
    <w:p w14:paraId="2792C04C" w14:textId="77777777" w:rsidR="00A64370" w:rsidRDefault="00000000">
      <w:pPr>
        <w:keepNext/>
        <w:keepLines/>
        <w:spacing w:before="60" w:after="20"/>
      </w:pPr>
      <w:r>
        <w:rPr>
          <w:b/>
          <w:sz w:val="21"/>
        </w:rPr>
        <w:t>A. Explainability Analysis</w:t>
      </w:r>
    </w:p>
    <w:p w14:paraId="43E7DBF5" w14:textId="77777777" w:rsidR="00A64370" w:rsidRDefault="00000000">
      <w:pPr>
        <w:spacing w:after="32" w:line="259" w:lineRule="auto"/>
        <w:ind w:firstLine="259"/>
        <w:jc w:val="both"/>
      </w:pPr>
      <w:r>
        <w:rPr>
          <w:sz w:val="21"/>
        </w:rPr>
        <w:t>Figure 3 shows mean absolute SHAP attributions for the 1,000 sampled test records. The leading attribute was sttl for both models. The next RF attributes were ct_state_ttl, sload, state, and ct_srv_dst; XGB instead placed proto, service, dbytes, and response_body_len near the top. Their top-ten lists shared sttl, service, dbytes, dttl, and ct_srv_dst. That gives a Jaccard score of 0.333, while Spearman correlation over the full rankings was 0.483. The models therefore overlap on some influential fields without assigning the same overall ordering.</w:t>
      </w:r>
    </w:p>
    <w:p w14:paraId="30EE1042" w14:textId="77777777" w:rsidR="00A64370" w:rsidRDefault="00000000">
      <w:pPr>
        <w:spacing w:after="20"/>
        <w:jc w:val="center"/>
      </w:pPr>
      <w:r>
        <w:rPr>
          <w:noProof/>
        </w:rPr>
        <w:lastRenderedPageBreak/>
        <w:drawing>
          <wp:inline distT="0" distB="0" distL="0" distR="0" wp14:anchorId="4A7B9CD3" wp14:editId="033C36C7">
            <wp:extent cx="6492240" cy="23051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_shap.png"/>
                    <pic:cNvPicPr/>
                  </pic:nvPicPr>
                  <pic:blipFill>
                    <a:blip r:embed="rId10"/>
                    <a:stretch>
                      <a:fillRect/>
                    </a:stretch>
                  </pic:blipFill>
                  <pic:spPr>
                    <a:xfrm>
                      <a:off x="0" y="0"/>
                      <a:ext cx="6492240" cy="2305117"/>
                    </a:xfrm>
                    <a:prstGeom prst="rect">
                      <a:avLst/>
                    </a:prstGeom>
                  </pic:spPr>
                </pic:pic>
              </a:graphicData>
            </a:graphic>
          </wp:inline>
        </w:drawing>
      </w:r>
    </w:p>
    <w:p w14:paraId="37F28E0B" w14:textId="77777777" w:rsidR="00A64370" w:rsidRDefault="00000000">
      <w:pPr>
        <w:keepLines/>
        <w:spacing w:before="20" w:after="40"/>
        <w:jc w:val="center"/>
      </w:pPr>
      <w:r>
        <w:rPr>
          <w:i/>
          <w:sz w:val="16"/>
        </w:rPr>
        <w:t xml:space="preserve">Fig. 3. Global mean absolute approximate </w:t>
      </w:r>
      <w:proofErr w:type="spellStart"/>
      <w:r>
        <w:rPr>
          <w:i/>
          <w:sz w:val="16"/>
        </w:rPr>
        <w:t>TreeSHAP</w:t>
      </w:r>
      <w:proofErr w:type="spellEnd"/>
      <w:r>
        <w:rPr>
          <w:i/>
          <w:sz w:val="16"/>
        </w:rPr>
        <w:t xml:space="preserve"> values on 1,000 stratified test records</w:t>
      </w:r>
    </w:p>
    <w:p w14:paraId="6F3FFC35" w14:textId="77777777" w:rsidR="00A64370" w:rsidRDefault="00000000">
      <w:pPr>
        <w:keepNext/>
        <w:keepLines/>
        <w:spacing w:before="40" w:after="40"/>
        <w:jc w:val="center"/>
      </w:pPr>
      <w:r>
        <w:rPr>
          <w:i/>
          <w:sz w:val="16"/>
        </w:rPr>
        <w:t>Table IV. Outcome-stratified local explanation measurements (median values)</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49"/>
        <w:gridCol w:w="835"/>
        <w:gridCol w:w="432"/>
        <w:gridCol w:w="1181"/>
        <w:gridCol w:w="1008"/>
        <w:gridCol w:w="1094"/>
        <w:gridCol w:w="893"/>
        <w:gridCol w:w="893"/>
      </w:tblGrid>
      <w:tr w:rsidR="00A64370" w14:paraId="1C6EE395" w14:textId="77777777">
        <w:trPr>
          <w:cantSplit/>
          <w:tblHeader/>
          <w:jc w:val="center"/>
        </w:trPr>
        <w:tc>
          <w:tcPr>
            <w:tcW w:w="749" w:type="dxa"/>
            <w:shd w:val="clear" w:color="auto" w:fill="D9E2F3"/>
            <w:tcMar>
              <w:top w:w="45" w:type="dxa"/>
              <w:left w:w="55" w:type="dxa"/>
              <w:bottom w:w="45" w:type="dxa"/>
              <w:right w:w="55" w:type="dxa"/>
            </w:tcMar>
            <w:vAlign w:val="center"/>
          </w:tcPr>
          <w:p w14:paraId="04BB70A6" w14:textId="77777777" w:rsidR="00A64370" w:rsidRDefault="00000000">
            <w:pPr>
              <w:jc w:val="center"/>
            </w:pPr>
            <w:r>
              <w:rPr>
                <w:b/>
                <w:sz w:val="13"/>
              </w:rPr>
              <w:t>Model</w:t>
            </w:r>
          </w:p>
        </w:tc>
        <w:tc>
          <w:tcPr>
            <w:tcW w:w="835" w:type="dxa"/>
            <w:shd w:val="clear" w:color="auto" w:fill="D9E2F3"/>
            <w:tcMar>
              <w:top w:w="45" w:type="dxa"/>
              <w:left w:w="55" w:type="dxa"/>
              <w:bottom w:w="45" w:type="dxa"/>
              <w:right w:w="55" w:type="dxa"/>
            </w:tcMar>
            <w:vAlign w:val="center"/>
          </w:tcPr>
          <w:p w14:paraId="25DD394B" w14:textId="77777777" w:rsidR="00A64370" w:rsidRDefault="00000000">
            <w:pPr>
              <w:jc w:val="center"/>
            </w:pPr>
            <w:r>
              <w:rPr>
                <w:b/>
                <w:sz w:val="13"/>
              </w:rPr>
              <w:t>Outcome</w:t>
            </w:r>
          </w:p>
        </w:tc>
        <w:tc>
          <w:tcPr>
            <w:tcW w:w="432" w:type="dxa"/>
            <w:shd w:val="clear" w:color="auto" w:fill="D9E2F3"/>
            <w:tcMar>
              <w:top w:w="45" w:type="dxa"/>
              <w:left w:w="55" w:type="dxa"/>
              <w:bottom w:w="45" w:type="dxa"/>
              <w:right w:w="55" w:type="dxa"/>
            </w:tcMar>
            <w:vAlign w:val="center"/>
          </w:tcPr>
          <w:p w14:paraId="32EBB36F" w14:textId="77777777" w:rsidR="00A64370" w:rsidRDefault="00000000">
            <w:pPr>
              <w:jc w:val="center"/>
            </w:pPr>
            <w:r>
              <w:rPr>
                <w:b/>
                <w:sz w:val="13"/>
              </w:rPr>
              <w:t>n</w:t>
            </w:r>
          </w:p>
        </w:tc>
        <w:tc>
          <w:tcPr>
            <w:tcW w:w="1181" w:type="dxa"/>
            <w:shd w:val="clear" w:color="auto" w:fill="D9E2F3"/>
            <w:tcMar>
              <w:top w:w="45" w:type="dxa"/>
              <w:left w:w="55" w:type="dxa"/>
              <w:bottom w:w="45" w:type="dxa"/>
              <w:right w:w="55" w:type="dxa"/>
            </w:tcMar>
            <w:vAlign w:val="center"/>
          </w:tcPr>
          <w:p w14:paraId="174F8437" w14:textId="77777777" w:rsidR="00A64370" w:rsidRDefault="00000000">
            <w:pPr>
              <w:jc w:val="center"/>
            </w:pPr>
            <w:r>
              <w:rPr>
                <w:b/>
                <w:sz w:val="13"/>
              </w:rPr>
              <w:t xml:space="preserve">Top-5 </w:t>
            </w:r>
            <w:proofErr w:type="spellStart"/>
            <w:r>
              <w:rPr>
                <w:b/>
                <w:sz w:val="13"/>
              </w:rPr>
              <w:t>Jacc</w:t>
            </w:r>
            <w:proofErr w:type="spellEnd"/>
            <w:r>
              <w:rPr>
                <w:b/>
                <w:sz w:val="13"/>
              </w:rPr>
              <w:t>.</w:t>
            </w:r>
          </w:p>
        </w:tc>
        <w:tc>
          <w:tcPr>
            <w:tcW w:w="1008" w:type="dxa"/>
            <w:shd w:val="clear" w:color="auto" w:fill="D9E2F3"/>
            <w:tcMar>
              <w:top w:w="45" w:type="dxa"/>
              <w:left w:w="55" w:type="dxa"/>
              <w:bottom w:w="45" w:type="dxa"/>
              <w:right w:w="55" w:type="dxa"/>
            </w:tcMar>
            <w:vAlign w:val="center"/>
          </w:tcPr>
          <w:p w14:paraId="608FF21E" w14:textId="77777777" w:rsidR="00A64370" w:rsidRDefault="00000000">
            <w:pPr>
              <w:jc w:val="center"/>
            </w:pPr>
            <w:r>
              <w:rPr>
                <w:b/>
                <w:sz w:val="13"/>
              </w:rPr>
              <w:t>LIME R²</w:t>
            </w:r>
          </w:p>
        </w:tc>
        <w:tc>
          <w:tcPr>
            <w:tcW w:w="1094" w:type="dxa"/>
            <w:shd w:val="clear" w:color="auto" w:fill="D9E2F3"/>
            <w:tcMar>
              <w:top w:w="45" w:type="dxa"/>
              <w:left w:w="55" w:type="dxa"/>
              <w:bottom w:w="45" w:type="dxa"/>
              <w:right w:w="55" w:type="dxa"/>
            </w:tcMar>
            <w:vAlign w:val="center"/>
          </w:tcPr>
          <w:p w14:paraId="0D485553" w14:textId="77777777" w:rsidR="00A64370" w:rsidRDefault="00000000">
            <w:pPr>
              <w:jc w:val="center"/>
            </w:pPr>
            <w:r>
              <w:rPr>
                <w:b/>
                <w:sz w:val="13"/>
              </w:rPr>
              <w:t>LIME stab.</w:t>
            </w:r>
          </w:p>
        </w:tc>
        <w:tc>
          <w:tcPr>
            <w:tcW w:w="893" w:type="dxa"/>
            <w:shd w:val="clear" w:color="auto" w:fill="D9E2F3"/>
            <w:tcMar>
              <w:top w:w="45" w:type="dxa"/>
              <w:left w:w="55" w:type="dxa"/>
              <w:bottom w:w="45" w:type="dxa"/>
              <w:right w:w="55" w:type="dxa"/>
            </w:tcMar>
            <w:vAlign w:val="center"/>
          </w:tcPr>
          <w:p w14:paraId="2AFDFE43" w14:textId="77777777" w:rsidR="00A64370" w:rsidRDefault="00000000">
            <w:pPr>
              <w:jc w:val="center"/>
            </w:pPr>
            <w:r>
              <w:rPr>
                <w:b/>
                <w:sz w:val="13"/>
              </w:rPr>
              <w:t xml:space="preserve">SHAP </w:t>
            </w:r>
            <w:proofErr w:type="spellStart"/>
            <w:r>
              <w:rPr>
                <w:b/>
                <w:sz w:val="13"/>
              </w:rPr>
              <w:t>ms</w:t>
            </w:r>
            <w:proofErr w:type="spellEnd"/>
          </w:p>
        </w:tc>
        <w:tc>
          <w:tcPr>
            <w:tcW w:w="893" w:type="dxa"/>
            <w:shd w:val="clear" w:color="auto" w:fill="D9E2F3"/>
            <w:tcMar>
              <w:top w:w="45" w:type="dxa"/>
              <w:left w:w="55" w:type="dxa"/>
              <w:bottom w:w="45" w:type="dxa"/>
              <w:right w:w="55" w:type="dxa"/>
            </w:tcMar>
            <w:vAlign w:val="center"/>
          </w:tcPr>
          <w:p w14:paraId="6D101127" w14:textId="77777777" w:rsidR="00A64370" w:rsidRDefault="00000000">
            <w:pPr>
              <w:jc w:val="center"/>
            </w:pPr>
            <w:r>
              <w:rPr>
                <w:b/>
                <w:sz w:val="13"/>
              </w:rPr>
              <w:t xml:space="preserve">LIME </w:t>
            </w:r>
            <w:proofErr w:type="spellStart"/>
            <w:r>
              <w:rPr>
                <w:b/>
                <w:sz w:val="13"/>
              </w:rPr>
              <w:t>ms</w:t>
            </w:r>
            <w:proofErr w:type="spellEnd"/>
          </w:p>
        </w:tc>
      </w:tr>
      <w:tr w:rsidR="00A64370" w14:paraId="152CF570" w14:textId="77777777">
        <w:trPr>
          <w:cantSplit/>
          <w:jc w:val="center"/>
        </w:trPr>
        <w:tc>
          <w:tcPr>
            <w:tcW w:w="749" w:type="dxa"/>
            <w:tcMar>
              <w:top w:w="45" w:type="dxa"/>
              <w:left w:w="55" w:type="dxa"/>
              <w:bottom w:w="45" w:type="dxa"/>
              <w:right w:w="55" w:type="dxa"/>
            </w:tcMar>
            <w:vAlign w:val="center"/>
          </w:tcPr>
          <w:p w14:paraId="651D7982" w14:textId="77777777" w:rsidR="00A64370" w:rsidRDefault="00000000">
            <w:pPr>
              <w:jc w:val="center"/>
            </w:pPr>
            <w:r>
              <w:rPr>
                <w:sz w:val="13"/>
              </w:rPr>
              <w:t>RF</w:t>
            </w:r>
          </w:p>
        </w:tc>
        <w:tc>
          <w:tcPr>
            <w:tcW w:w="835" w:type="dxa"/>
            <w:tcMar>
              <w:top w:w="45" w:type="dxa"/>
              <w:left w:w="55" w:type="dxa"/>
              <w:bottom w:w="45" w:type="dxa"/>
              <w:right w:w="55" w:type="dxa"/>
            </w:tcMar>
            <w:vAlign w:val="center"/>
          </w:tcPr>
          <w:p w14:paraId="36CB5AC7" w14:textId="77777777" w:rsidR="00A64370" w:rsidRDefault="00000000">
            <w:r>
              <w:rPr>
                <w:sz w:val="13"/>
              </w:rPr>
              <w:t>TP</w:t>
            </w:r>
          </w:p>
        </w:tc>
        <w:tc>
          <w:tcPr>
            <w:tcW w:w="432" w:type="dxa"/>
            <w:tcMar>
              <w:top w:w="45" w:type="dxa"/>
              <w:left w:w="55" w:type="dxa"/>
              <w:bottom w:w="45" w:type="dxa"/>
              <w:right w:w="55" w:type="dxa"/>
            </w:tcMar>
            <w:vAlign w:val="center"/>
          </w:tcPr>
          <w:p w14:paraId="32664302" w14:textId="77777777" w:rsidR="00A64370" w:rsidRDefault="00000000">
            <w:r>
              <w:rPr>
                <w:sz w:val="13"/>
              </w:rPr>
              <w:t>15</w:t>
            </w:r>
          </w:p>
        </w:tc>
        <w:tc>
          <w:tcPr>
            <w:tcW w:w="1181" w:type="dxa"/>
            <w:tcMar>
              <w:top w:w="45" w:type="dxa"/>
              <w:left w:w="55" w:type="dxa"/>
              <w:bottom w:w="45" w:type="dxa"/>
              <w:right w:w="55" w:type="dxa"/>
            </w:tcMar>
            <w:vAlign w:val="center"/>
          </w:tcPr>
          <w:p w14:paraId="18257ED8" w14:textId="77777777" w:rsidR="00A64370" w:rsidRDefault="00000000">
            <w:r>
              <w:rPr>
                <w:sz w:val="13"/>
              </w:rPr>
              <w:t>0.250</w:t>
            </w:r>
          </w:p>
        </w:tc>
        <w:tc>
          <w:tcPr>
            <w:tcW w:w="1008" w:type="dxa"/>
            <w:tcMar>
              <w:top w:w="45" w:type="dxa"/>
              <w:left w:w="55" w:type="dxa"/>
              <w:bottom w:w="45" w:type="dxa"/>
              <w:right w:w="55" w:type="dxa"/>
            </w:tcMar>
            <w:vAlign w:val="center"/>
          </w:tcPr>
          <w:p w14:paraId="717FD325" w14:textId="77777777" w:rsidR="00A64370" w:rsidRDefault="00000000">
            <w:r>
              <w:rPr>
                <w:sz w:val="13"/>
              </w:rPr>
              <w:t>0.637</w:t>
            </w:r>
          </w:p>
        </w:tc>
        <w:tc>
          <w:tcPr>
            <w:tcW w:w="1094" w:type="dxa"/>
            <w:tcMar>
              <w:top w:w="45" w:type="dxa"/>
              <w:left w:w="55" w:type="dxa"/>
              <w:bottom w:w="45" w:type="dxa"/>
              <w:right w:w="55" w:type="dxa"/>
            </w:tcMar>
            <w:vAlign w:val="center"/>
          </w:tcPr>
          <w:p w14:paraId="4FD438DD" w14:textId="77777777" w:rsidR="00A64370" w:rsidRDefault="00000000">
            <w:r>
              <w:rPr>
                <w:sz w:val="13"/>
              </w:rPr>
              <w:t>0.667</w:t>
            </w:r>
          </w:p>
        </w:tc>
        <w:tc>
          <w:tcPr>
            <w:tcW w:w="893" w:type="dxa"/>
            <w:tcMar>
              <w:top w:w="45" w:type="dxa"/>
              <w:left w:w="55" w:type="dxa"/>
              <w:bottom w:w="45" w:type="dxa"/>
              <w:right w:w="55" w:type="dxa"/>
            </w:tcMar>
            <w:vAlign w:val="center"/>
          </w:tcPr>
          <w:p w14:paraId="1B964B08" w14:textId="77777777" w:rsidR="00A64370" w:rsidRDefault="00000000">
            <w:r>
              <w:rPr>
                <w:sz w:val="13"/>
              </w:rPr>
              <w:t>3.99</w:t>
            </w:r>
          </w:p>
        </w:tc>
        <w:tc>
          <w:tcPr>
            <w:tcW w:w="893" w:type="dxa"/>
            <w:tcMar>
              <w:top w:w="45" w:type="dxa"/>
              <w:left w:w="55" w:type="dxa"/>
              <w:bottom w:w="45" w:type="dxa"/>
              <w:right w:w="55" w:type="dxa"/>
            </w:tcMar>
            <w:vAlign w:val="center"/>
          </w:tcPr>
          <w:p w14:paraId="6FC93617" w14:textId="77777777" w:rsidR="00A64370" w:rsidRDefault="00000000">
            <w:r>
              <w:rPr>
                <w:sz w:val="13"/>
              </w:rPr>
              <w:t>105.44</w:t>
            </w:r>
          </w:p>
        </w:tc>
      </w:tr>
      <w:tr w:rsidR="00A64370" w14:paraId="71E5F782" w14:textId="77777777">
        <w:trPr>
          <w:cantSplit/>
          <w:jc w:val="center"/>
        </w:trPr>
        <w:tc>
          <w:tcPr>
            <w:tcW w:w="749" w:type="dxa"/>
            <w:shd w:val="clear" w:color="auto" w:fill="F7F9FC"/>
            <w:tcMar>
              <w:top w:w="45" w:type="dxa"/>
              <w:left w:w="55" w:type="dxa"/>
              <w:bottom w:w="45" w:type="dxa"/>
              <w:right w:w="55" w:type="dxa"/>
            </w:tcMar>
            <w:vAlign w:val="center"/>
          </w:tcPr>
          <w:p w14:paraId="78D07E82" w14:textId="77777777" w:rsidR="00A64370" w:rsidRDefault="00000000">
            <w:pPr>
              <w:jc w:val="center"/>
            </w:pPr>
            <w:r>
              <w:rPr>
                <w:sz w:val="13"/>
              </w:rPr>
              <w:t>RF</w:t>
            </w:r>
          </w:p>
        </w:tc>
        <w:tc>
          <w:tcPr>
            <w:tcW w:w="835" w:type="dxa"/>
            <w:shd w:val="clear" w:color="auto" w:fill="F7F9FC"/>
            <w:tcMar>
              <w:top w:w="45" w:type="dxa"/>
              <w:left w:w="55" w:type="dxa"/>
              <w:bottom w:w="45" w:type="dxa"/>
              <w:right w:w="55" w:type="dxa"/>
            </w:tcMar>
            <w:vAlign w:val="center"/>
          </w:tcPr>
          <w:p w14:paraId="71924399" w14:textId="77777777" w:rsidR="00A64370" w:rsidRDefault="00000000">
            <w:r>
              <w:rPr>
                <w:sz w:val="13"/>
              </w:rPr>
              <w:t>TN</w:t>
            </w:r>
          </w:p>
        </w:tc>
        <w:tc>
          <w:tcPr>
            <w:tcW w:w="432" w:type="dxa"/>
            <w:shd w:val="clear" w:color="auto" w:fill="F7F9FC"/>
            <w:tcMar>
              <w:top w:w="45" w:type="dxa"/>
              <w:left w:w="55" w:type="dxa"/>
              <w:bottom w:w="45" w:type="dxa"/>
              <w:right w:w="55" w:type="dxa"/>
            </w:tcMar>
            <w:vAlign w:val="center"/>
          </w:tcPr>
          <w:p w14:paraId="133846E3" w14:textId="77777777" w:rsidR="00A64370" w:rsidRDefault="00000000">
            <w:r>
              <w:rPr>
                <w:sz w:val="13"/>
              </w:rPr>
              <w:t>15</w:t>
            </w:r>
          </w:p>
        </w:tc>
        <w:tc>
          <w:tcPr>
            <w:tcW w:w="1181" w:type="dxa"/>
            <w:shd w:val="clear" w:color="auto" w:fill="F7F9FC"/>
            <w:tcMar>
              <w:top w:w="45" w:type="dxa"/>
              <w:left w:w="55" w:type="dxa"/>
              <w:bottom w:w="45" w:type="dxa"/>
              <w:right w:w="55" w:type="dxa"/>
            </w:tcMar>
            <w:vAlign w:val="center"/>
          </w:tcPr>
          <w:p w14:paraId="71042124" w14:textId="77777777" w:rsidR="00A64370" w:rsidRDefault="00000000">
            <w:r>
              <w:rPr>
                <w:sz w:val="13"/>
              </w:rPr>
              <w:t>0.429</w:t>
            </w:r>
          </w:p>
        </w:tc>
        <w:tc>
          <w:tcPr>
            <w:tcW w:w="1008" w:type="dxa"/>
            <w:shd w:val="clear" w:color="auto" w:fill="F7F9FC"/>
            <w:tcMar>
              <w:top w:w="45" w:type="dxa"/>
              <w:left w:w="55" w:type="dxa"/>
              <w:bottom w:w="45" w:type="dxa"/>
              <w:right w:w="55" w:type="dxa"/>
            </w:tcMar>
            <w:vAlign w:val="center"/>
          </w:tcPr>
          <w:p w14:paraId="46786880" w14:textId="77777777" w:rsidR="00A64370" w:rsidRDefault="00000000">
            <w:r>
              <w:rPr>
                <w:sz w:val="13"/>
              </w:rPr>
              <w:t>0.632</w:t>
            </w:r>
          </w:p>
        </w:tc>
        <w:tc>
          <w:tcPr>
            <w:tcW w:w="1094" w:type="dxa"/>
            <w:shd w:val="clear" w:color="auto" w:fill="F7F9FC"/>
            <w:tcMar>
              <w:top w:w="45" w:type="dxa"/>
              <w:left w:w="55" w:type="dxa"/>
              <w:bottom w:w="45" w:type="dxa"/>
              <w:right w:w="55" w:type="dxa"/>
            </w:tcMar>
            <w:vAlign w:val="center"/>
          </w:tcPr>
          <w:p w14:paraId="144DCB3F" w14:textId="77777777" w:rsidR="00A64370" w:rsidRDefault="00000000">
            <w:r>
              <w:rPr>
                <w:sz w:val="13"/>
              </w:rPr>
              <w:t>0.667</w:t>
            </w:r>
          </w:p>
        </w:tc>
        <w:tc>
          <w:tcPr>
            <w:tcW w:w="893" w:type="dxa"/>
            <w:shd w:val="clear" w:color="auto" w:fill="F7F9FC"/>
            <w:tcMar>
              <w:top w:w="45" w:type="dxa"/>
              <w:left w:w="55" w:type="dxa"/>
              <w:bottom w:w="45" w:type="dxa"/>
              <w:right w:w="55" w:type="dxa"/>
            </w:tcMar>
            <w:vAlign w:val="center"/>
          </w:tcPr>
          <w:p w14:paraId="077AF413" w14:textId="77777777" w:rsidR="00A64370" w:rsidRDefault="00000000">
            <w:r>
              <w:rPr>
                <w:sz w:val="13"/>
              </w:rPr>
              <w:t>3.99</w:t>
            </w:r>
          </w:p>
        </w:tc>
        <w:tc>
          <w:tcPr>
            <w:tcW w:w="893" w:type="dxa"/>
            <w:shd w:val="clear" w:color="auto" w:fill="F7F9FC"/>
            <w:tcMar>
              <w:top w:w="45" w:type="dxa"/>
              <w:left w:w="55" w:type="dxa"/>
              <w:bottom w:w="45" w:type="dxa"/>
              <w:right w:w="55" w:type="dxa"/>
            </w:tcMar>
            <w:vAlign w:val="center"/>
          </w:tcPr>
          <w:p w14:paraId="12F23B9F" w14:textId="77777777" w:rsidR="00A64370" w:rsidRDefault="00000000">
            <w:r>
              <w:rPr>
                <w:sz w:val="13"/>
              </w:rPr>
              <w:t>98.13</w:t>
            </w:r>
          </w:p>
        </w:tc>
      </w:tr>
      <w:tr w:rsidR="00A64370" w14:paraId="59A30977" w14:textId="77777777">
        <w:trPr>
          <w:cantSplit/>
          <w:jc w:val="center"/>
        </w:trPr>
        <w:tc>
          <w:tcPr>
            <w:tcW w:w="749" w:type="dxa"/>
            <w:tcMar>
              <w:top w:w="45" w:type="dxa"/>
              <w:left w:w="55" w:type="dxa"/>
              <w:bottom w:w="45" w:type="dxa"/>
              <w:right w:w="55" w:type="dxa"/>
            </w:tcMar>
            <w:vAlign w:val="center"/>
          </w:tcPr>
          <w:p w14:paraId="1E5531A3" w14:textId="77777777" w:rsidR="00A64370" w:rsidRDefault="00000000">
            <w:pPr>
              <w:jc w:val="center"/>
            </w:pPr>
            <w:r>
              <w:rPr>
                <w:sz w:val="13"/>
              </w:rPr>
              <w:t>RF</w:t>
            </w:r>
          </w:p>
        </w:tc>
        <w:tc>
          <w:tcPr>
            <w:tcW w:w="835" w:type="dxa"/>
            <w:tcMar>
              <w:top w:w="45" w:type="dxa"/>
              <w:left w:w="55" w:type="dxa"/>
              <w:bottom w:w="45" w:type="dxa"/>
              <w:right w:w="55" w:type="dxa"/>
            </w:tcMar>
            <w:vAlign w:val="center"/>
          </w:tcPr>
          <w:p w14:paraId="455DF3FC" w14:textId="77777777" w:rsidR="00A64370" w:rsidRDefault="00000000">
            <w:r>
              <w:rPr>
                <w:sz w:val="13"/>
              </w:rPr>
              <w:t>FP</w:t>
            </w:r>
          </w:p>
        </w:tc>
        <w:tc>
          <w:tcPr>
            <w:tcW w:w="432" w:type="dxa"/>
            <w:tcMar>
              <w:top w:w="45" w:type="dxa"/>
              <w:left w:w="55" w:type="dxa"/>
              <w:bottom w:w="45" w:type="dxa"/>
              <w:right w:w="55" w:type="dxa"/>
            </w:tcMar>
            <w:vAlign w:val="center"/>
          </w:tcPr>
          <w:p w14:paraId="4065E61C" w14:textId="77777777" w:rsidR="00A64370" w:rsidRDefault="00000000">
            <w:r>
              <w:rPr>
                <w:sz w:val="13"/>
              </w:rPr>
              <w:t>15</w:t>
            </w:r>
          </w:p>
        </w:tc>
        <w:tc>
          <w:tcPr>
            <w:tcW w:w="1181" w:type="dxa"/>
            <w:tcMar>
              <w:top w:w="45" w:type="dxa"/>
              <w:left w:w="55" w:type="dxa"/>
              <w:bottom w:w="45" w:type="dxa"/>
              <w:right w:w="55" w:type="dxa"/>
            </w:tcMar>
            <w:vAlign w:val="center"/>
          </w:tcPr>
          <w:p w14:paraId="203998AA" w14:textId="77777777" w:rsidR="00A64370" w:rsidRDefault="00000000">
            <w:r>
              <w:rPr>
                <w:sz w:val="13"/>
              </w:rPr>
              <w:t>0.111</w:t>
            </w:r>
          </w:p>
        </w:tc>
        <w:tc>
          <w:tcPr>
            <w:tcW w:w="1008" w:type="dxa"/>
            <w:tcMar>
              <w:top w:w="45" w:type="dxa"/>
              <w:left w:w="55" w:type="dxa"/>
              <w:bottom w:w="45" w:type="dxa"/>
              <w:right w:w="55" w:type="dxa"/>
            </w:tcMar>
            <w:vAlign w:val="center"/>
          </w:tcPr>
          <w:p w14:paraId="5CA27917" w14:textId="77777777" w:rsidR="00A64370" w:rsidRDefault="00000000">
            <w:r>
              <w:rPr>
                <w:sz w:val="13"/>
              </w:rPr>
              <w:t>0.699</w:t>
            </w:r>
          </w:p>
        </w:tc>
        <w:tc>
          <w:tcPr>
            <w:tcW w:w="1094" w:type="dxa"/>
            <w:tcMar>
              <w:top w:w="45" w:type="dxa"/>
              <w:left w:w="55" w:type="dxa"/>
              <w:bottom w:w="45" w:type="dxa"/>
              <w:right w:w="55" w:type="dxa"/>
            </w:tcMar>
            <w:vAlign w:val="center"/>
          </w:tcPr>
          <w:p w14:paraId="600C3E32" w14:textId="77777777" w:rsidR="00A64370" w:rsidRDefault="00000000">
            <w:r>
              <w:rPr>
                <w:sz w:val="13"/>
              </w:rPr>
              <w:t>0.667</w:t>
            </w:r>
          </w:p>
        </w:tc>
        <w:tc>
          <w:tcPr>
            <w:tcW w:w="893" w:type="dxa"/>
            <w:tcMar>
              <w:top w:w="45" w:type="dxa"/>
              <w:left w:w="55" w:type="dxa"/>
              <w:bottom w:w="45" w:type="dxa"/>
              <w:right w:w="55" w:type="dxa"/>
            </w:tcMar>
            <w:vAlign w:val="center"/>
          </w:tcPr>
          <w:p w14:paraId="50BAF202" w14:textId="77777777" w:rsidR="00A64370" w:rsidRDefault="00000000">
            <w:r>
              <w:rPr>
                <w:sz w:val="13"/>
              </w:rPr>
              <w:t>3.99</w:t>
            </w:r>
          </w:p>
        </w:tc>
        <w:tc>
          <w:tcPr>
            <w:tcW w:w="893" w:type="dxa"/>
            <w:tcMar>
              <w:top w:w="45" w:type="dxa"/>
              <w:left w:w="55" w:type="dxa"/>
              <w:bottom w:w="45" w:type="dxa"/>
              <w:right w:w="55" w:type="dxa"/>
            </w:tcMar>
            <w:vAlign w:val="center"/>
          </w:tcPr>
          <w:p w14:paraId="2EE31B82" w14:textId="77777777" w:rsidR="00A64370" w:rsidRDefault="00000000">
            <w:r>
              <w:rPr>
                <w:sz w:val="13"/>
              </w:rPr>
              <w:t>99.78</w:t>
            </w:r>
          </w:p>
        </w:tc>
      </w:tr>
      <w:tr w:rsidR="00A64370" w14:paraId="47E6967B" w14:textId="77777777">
        <w:trPr>
          <w:cantSplit/>
          <w:jc w:val="center"/>
        </w:trPr>
        <w:tc>
          <w:tcPr>
            <w:tcW w:w="749" w:type="dxa"/>
            <w:shd w:val="clear" w:color="auto" w:fill="F7F9FC"/>
            <w:tcMar>
              <w:top w:w="45" w:type="dxa"/>
              <w:left w:w="55" w:type="dxa"/>
              <w:bottom w:w="45" w:type="dxa"/>
              <w:right w:w="55" w:type="dxa"/>
            </w:tcMar>
            <w:vAlign w:val="center"/>
          </w:tcPr>
          <w:p w14:paraId="5EAEFFC2" w14:textId="77777777" w:rsidR="00A64370" w:rsidRDefault="00000000">
            <w:pPr>
              <w:jc w:val="center"/>
            </w:pPr>
            <w:r>
              <w:rPr>
                <w:sz w:val="13"/>
              </w:rPr>
              <w:t>RF</w:t>
            </w:r>
          </w:p>
        </w:tc>
        <w:tc>
          <w:tcPr>
            <w:tcW w:w="835" w:type="dxa"/>
            <w:shd w:val="clear" w:color="auto" w:fill="F7F9FC"/>
            <w:tcMar>
              <w:top w:w="45" w:type="dxa"/>
              <w:left w:w="55" w:type="dxa"/>
              <w:bottom w:w="45" w:type="dxa"/>
              <w:right w:w="55" w:type="dxa"/>
            </w:tcMar>
            <w:vAlign w:val="center"/>
          </w:tcPr>
          <w:p w14:paraId="7A969408" w14:textId="77777777" w:rsidR="00A64370" w:rsidRDefault="00000000">
            <w:r>
              <w:rPr>
                <w:sz w:val="13"/>
              </w:rPr>
              <w:t>FN</w:t>
            </w:r>
          </w:p>
        </w:tc>
        <w:tc>
          <w:tcPr>
            <w:tcW w:w="432" w:type="dxa"/>
            <w:shd w:val="clear" w:color="auto" w:fill="F7F9FC"/>
            <w:tcMar>
              <w:top w:w="45" w:type="dxa"/>
              <w:left w:w="55" w:type="dxa"/>
              <w:bottom w:w="45" w:type="dxa"/>
              <w:right w:w="55" w:type="dxa"/>
            </w:tcMar>
            <w:vAlign w:val="center"/>
          </w:tcPr>
          <w:p w14:paraId="7DB9FFF2" w14:textId="77777777" w:rsidR="00A64370" w:rsidRDefault="00000000">
            <w:r>
              <w:rPr>
                <w:sz w:val="13"/>
              </w:rPr>
              <w:t>15</w:t>
            </w:r>
          </w:p>
        </w:tc>
        <w:tc>
          <w:tcPr>
            <w:tcW w:w="1181" w:type="dxa"/>
            <w:shd w:val="clear" w:color="auto" w:fill="F7F9FC"/>
            <w:tcMar>
              <w:top w:w="45" w:type="dxa"/>
              <w:left w:w="55" w:type="dxa"/>
              <w:bottom w:w="45" w:type="dxa"/>
              <w:right w:w="55" w:type="dxa"/>
            </w:tcMar>
            <w:vAlign w:val="center"/>
          </w:tcPr>
          <w:p w14:paraId="639CEFA8" w14:textId="77777777" w:rsidR="00A64370" w:rsidRDefault="00000000">
            <w:r>
              <w:rPr>
                <w:sz w:val="13"/>
              </w:rPr>
              <w:t>0.111</w:t>
            </w:r>
          </w:p>
        </w:tc>
        <w:tc>
          <w:tcPr>
            <w:tcW w:w="1008" w:type="dxa"/>
            <w:shd w:val="clear" w:color="auto" w:fill="F7F9FC"/>
            <w:tcMar>
              <w:top w:w="45" w:type="dxa"/>
              <w:left w:w="55" w:type="dxa"/>
              <w:bottom w:w="45" w:type="dxa"/>
              <w:right w:w="55" w:type="dxa"/>
            </w:tcMar>
            <w:vAlign w:val="center"/>
          </w:tcPr>
          <w:p w14:paraId="16A2ECE8" w14:textId="77777777" w:rsidR="00A64370" w:rsidRDefault="00000000">
            <w:r>
              <w:rPr>
                <w:sz w:val="13"/>
              </w:rPr>
              <w:t>0.722</w:t>
            </w:r>
          </w:p>
        </w:tc>
        <w:tc>
          <w:tcPr>
            <w:tcW w:w="1094" w:type="dxa"/>
            <w:shd w:val="clear" w:color="auto" w:fill="F7F9FC"/>
            <w:tcMar>
              <w:top w:w="45" w:type="dxa"/>
              <w:left w:w="55" w:type="dxa"/>
              <w:bottom w:w="45" w:type="dxa"/>
              <w:right w:w="55" w:type="dxa"/>
            </w:tcMar>
            <w:vAlign w:val="center"/>
          </w:tcPr>
          <w:p w14:paraId="036730D7" w14:textId="77777777" w:rsidR="00A64370" w:rsidRDefault="00000000">
            <w:r>
              <w:rPr>
                <w:sz w:val="13"/>
              </w:rPr>
              <w:t>0.667</w:t>
            </w:r>
          </w:p>
        </w:tc>
        <w:tc>
          <w:tcPr>
            <w:tcW w:w="893" w:type="dxa"/>
            <w:shd w:val="clear" w:color="auto" w:fill="F7F9FC"/>
            <w:tcMar>
              <w:top w:w="45" w:type="dxa"/>
              <w:left w:w="55" w:type="dxa"/>
              <w:bottom w:w="45" w:type="dxa"/>
              <w:right w:w="55" w:type="dxa"/>
            </w:tcMar>
            <w:vAlign w:val="center"/>
          </w:tcPr>
          <w:p w14:paraId="28C95032" w14:textId="77777777" w:rsidR="00A64370" w:rsidRDefault="00000000">
            <w:r>
              <w:rPr>
                <w:sz w:val="13"/>
              </w:rPr>
              <w:t>3.99</w:t>
            </w:r>
          </w:p>
        </w:tc>
        <w:tc>
          <w:tcPr>
            <w:tcW w:w="893" w:type="dxa"/>
            <w:shd w:val="clear" w:color="auto" w:fill="F7F9FC"/>
            <w:tcMar>
              <w:top w:w="45" w:type="dxa"/>
              <w:left w:w="55" w:type="dxa"/>
              <w:bottom w:w="45" w:type="dxa"/>
              <w:right w:w="55" w:type="dxa"/>
            </w:tcMar>
            <w:vAlign w:val="center"/>
          </w:tcPr>
          <w:p w14:paraId="4E164875" w14:textId="77777777" w:rsidR="00A64370" w:rsidRDefault="00000000">
            <w:r>
              <w:rPr>
                <w:sz w:val="13"/>
              </w:rPr>
              <w:t>101.76</w:t>
            </w:r>
          </w:p>
        </w:tc>
      </w:tr>
      <w:tr w:rsidR="00A64370" w14:paraId="27149705" w14:textId="77777777">
        <w:trPr>
          <w:cantSplit/>
          <w:jc w:val="center"/>
        </w:trPr>
        <w:tc>
          <w:tcPr>
            <w:tcW w:w="749" w:type="dxa"/>
            <w:tcMar>
              <w:top w:w="45" w:type="dxa"/>
              <w:left w:w="55" w:type="dxa"/>
              <w:bottom w:w="45" w:type="dxa"/>
              <w:right w:w="55" w:type="dxa"/>
            </w:tcMar>
            <w:vAlign w:val="center"/>
          </w:tcPr>
          <w:p w14:paraId="7427CEB0" w14:textId="77777777" w:rsidR="00A64370" w:rsidRDefault="00000000">
            <w:pPr>
              <w:jc w:val="center"/>
            </w:pPr>
            <w:r>
              <w:rPr>
                <w:sz w:val="13"/>
              </w:rPr>
              <w:t>XGB</w:t>
            </w:r>
          </w:p>
        </w:tc>
        <w:tc>
          <w:tcPr>
            <w:tcW w:w="835" w:type="dxa"/>
            <w:tcMar>
              <w:top w:w="45" w:type="dxa"/>
              <w:left w:w="55" w:type="dxa"/>
              <w:bottom w:w="45" w:type="dxa"/>
              <w:right w:w="55" w:type="dxa"/>
            </w:tcMar>
            <w:vAlign w:val="center"/>
          </w:tcPr>
          <w:p w14:paraId="36312642" w14:textId="77777777" w:rsidR="00A64370" w:rsidRDefault="00000000">
            <w:r>
              <w:rPr>
                <w:sz w:val="13"/>
              </w:rPr>
              <w:t>TP</w:t>
            </w:r>
          </w:p>
        </w:tc>
        <w:tc>
          <w:tcPr>
            <w:tcW w:w="432" w:type="dxa"/>
            <w:tcMar>
              <w:top w:w="45" w:type="dxa"/>
              <w:left w:w="55" w:type="dxa"/>
              <w:bottom w:w="45" w:type="dxa"/>
              <w:right w:w="55" w:type="dxa"/>
            </w:tcMar>
            <w:vAlign w:val="center"/>
          </w:tcPr>
          <w:p w14:paraId="1695703F" w14:textId="77777777" w:rsidR="00A64370" w:rsidRDefault="00000000">
            <w:r>
              <w:rPr>
                <w:sz w:val="13"/>
              </w:rPr>
              <w:t>15</w:t>
            </w:r>
          </w:p>
        </w:tc>
        <w:tc>
          <w:tcPr>
            <w:tcW w:w="1181" w:type="dxa"/>
            <w:tcMar>
              <w:top w:w="45" w:type="dxa"/>
              <w:left w:w="55" w:type="dxa"/>
              <w:bottom w:w="45" w:type="dxa"/>
              <w:right w:w="55" w:type="dxa"/>
            </w:tcMar>
            <w:vAlign w:val="center"/>
          </w:tcPr>
          <w:p w14:paraId="7DFFD230" w14:textId="77777777" w:rsidR="00A64370" w:rsidRDefault="00000000">
            <w:r>
              <w:rPr>
                <w:sz w:val="13"/>
              </w:rPr>
              <w:t>0.250</w:t>
            </w:r>
          </w:p>
        </w:tc>
        <w:tc>
          <w:tcPr>
            <w:tcW w:w="1008" w:type="dxa"/>
            <w:tcMar>
              <w:top w:w="45" w:type="dxa"/>
              <w:left w:w="55" w:type="dxa"/>
              <w:bottom w:w="45" w:type="dxa"/>
              <w:right w:w="55" w:type="dxa"/>
            </w:tcMar>
            <w:vAlign w:val="center"/>
          </w:tcPr>
          <w:p w14:paraId="5A2F6935" w14:textId="77777777" w:rsidR="00A64370" w:rsidRDefault="00000000">
            <w:r>
              <w:rPr>
                <w:sz w:val="13"/>
              </w:rPr>
              <w:t>0.801</w:t>
            </w:r>
          </w:p>
        </w:tc>
        <w:tc>
          <w:tcPr>
            <w:tcW w:w="1094" w:type="dxa"/>
            <w:tcMar>
              <w:top w:w="45" w:type="dxa"/>
              <w:left w:w="55" w:type="dxa"/>
              <w:bottom w:w="45" w:type="dxa"/>
              <w:right w:w="55" w:type="dxa"/>
            </w:tcMar>
            <w:vAlign w:val="center"/>
          </w:tcPr>
          <w:p w14:paraId="67E3F423" w14:textId="77777777" w:rsidR="00A64370" w:rsidRDefault="00000000">
            <w:r>
              <w:rPr>
                <w:sz w:val="13"/>
              </w:rPr>
              <w:t>0.429</w:t>
            </w:r>
          </w:p>
        </w:tc>
        <w:tc>
          <w:tcPr>
            <w:tcW w:w="893" w:type="dxa"/>
            <w:tcMar>
              <w:top w:w="45" w:type="dxa"/>
              <w:left w:w="55" w:type="dxa"/>
              <w:bottom w:w="45" w:type="dxa"/>
              <w:right w:w="55" w:type="dxa"/>
            </w:tcMar>
            <w:vAlign w:val="center"/>
          </w:tcPr>
          <w:p w14:paraId="2F19D369" w14:textId="77777777" w:rsidR="00A64370" w:rsidRDefault="00000000">
            <w:r>
              <w:rPr>
                <w:sz w:val="13"/>
              </w:rPr>
              <w:t>1.16</w:t>
            </w:r>
          </w:p>
        </w:tc>
        <w:tc>
          <w:tcPr>
            <w:tcW w:w="893" w:type="dxa"/>
            <w:tcMar>
              <w:top w:w="45" w:type="dxa"/>
              <w:left w:w="55" w:type="dxa"/>
              <w:bottom w:w="45" w:type="dxa"/>
              <w:right w:w="55" w:type="dxa"/>
            </w:tcMar>
            <w:vAlign w:val="center"/>
          </w:tcPr>
          <w:p w14:paraId="0CD01DD1" w14:textId="77777777" w:rsidR="00A64370" w:rsidRDefault="00000000">
            <w:r>
              <w:rPr>
                <w:sz w:val="13"/>
              </w:rPr>
              <w:t>61.24</w:t>
            </w:r>
          </w:p>
        </w:tc>
      </w:tr>
      <w:tr w:rsidR="00A64370" w14:paraId="3D2382B2" w14:textId="77777777">
        <w:trPr>
          <w:cantSplit/>
          <w:jc w:val="center"/>
        </w:trPr>
        <w:tc>
          <w:tcPr>
            <w:tcW w:w="749" w:type="dxa"/>
            <w:shd w:val="clear" w:color="auto" w:fill="F7F9FC"/>
            <w:tcMar>
              <w:top w:w="45" w:type="dxa"/>
              <w:left w:w="55" w:type="dxa"/>
              <w:bottom w:w="45" w:type="dxa"/>
              <w:right w:w="55" w:type="dxa"/>
            </w:tcMar>
            <w:vAlign w:val="center"/>
          </w:tcPr>
          <w:p w14:paraId="5BF26837" w14:textId="77777777" w:rsidR="00A64370" w:rsidRDefault="00000000">
            <w:pPr>
              <w:jc w:val="center"/>
            </w:pPr>
            <w:r>
              <w:rPr>
                <w:sz w:val="13"/>
              </w:rPr>
              <w:t>XGB</w:t>
            </w:r>
          </w:p>
        </w:tc>
        <w:tc>
          <w:tcPr>
            <w:tcW w:w="835" w:type="dxa"/>
            <w:shd w:val="clear" w:color="auto" w:fill="F7F9FC"/>
            <w:tcMar>
              <w:top w:w="45" w:type="dxa"/>
              <w:left w:w="55" w:type="dxa"/>
              <w:bottom w:w="45" w:type="dxa"/>
              <w:right w:w="55" w:type="dxa"/>
            </w:tcMar>
            <w:vAlign w:val="center"/>
          </w:tcPr>
          <w:p w14:paraId="7D94F82B" w14:textId="77777777" w:rsidR="00A64370" w:rsidRDefault="00000000">
            <w:r>
              <w:rPr>
                <w:sz w:val="13"/>
              </w:rPr>
              <w:t>TN</w:t>
            </w:r>
          </w:p>
        </w:tc>
        <w:tc>
          <w:tcPr>
            <w:tcW w:w="432" w:type="dxa"/>
            <w:shd w:val="clear" w:color="auto" w:fill="F7F9FC"/>
            <w:tcMar>
              <w:top w:w="45" w:type="dxa"/>
              <w:left w:w="55" w:type="dxa"/>
              <w:bottom w:w="45" w:type="dxa"/>
              <w:right w:w="55" w:type="dxa"/>
            </w:tcMar>
            <w:vAlign w:val="center"/>
          </w:tcPr>
          <w:p w14:paraId="570182EE" w14:textId="77777777" w:rsidR="00A64370" w:rsidRDefault="00000000">
            <w:r>
              <w:rPr>
                <w:sz w:val="13"/>
              </w:rPr>
              <w:t>15</w:t>
            </w:r>
          </w:p>
        </w:tc>
        <w:tc>
          <w:tcPr>
            <w:tcW w:w="1181" w:type="dxa"/>
            <w:shd w:val="clear" w:color="auto" w:fill="F7F9FC"/>
            <w:tcMar>
              <w:top w:w="45" w:type="dxa"/>
              <w:left w:w="55" w:type="dxa"/>
              <w:bottom w:w="45" w:type="dxa"/>
              <w:right w:w="55" w:type="dxa"/>
            </w:tcMar>
            <w:vAlign w:val="center"/>
          </w:tcPr>
          <w:p w14:paraId="7008C14B" w14:textId="77777777" w:rsidR="00A64370" w:rsidRDefault="00000000">
            <w:r>
              <w:rPr>
                <w:sz w:val="13"/>
              </w:rPr>
              <w:t>0.250</w:t>
            </w:r>
          </w:p>
        </w:tc>
        <w:tc>
          <w:tcPr>
            <w:tcW w:w="1008" w:type="dxa"/>
            <w:shd w:val="clear" w:color="auto" w:fill="F7F9FC"/>
            <w:tcMar>
              <w:top w:w="45" w:type="dxa"/>
              <w:left w:w="55" w:type="dxa"/>
              <w:bottom w:w="45" w:type="dxa"/>
              <w:right w:w="55" w:type="dxa"/>
            </w:tcMar>
            <w:vAlign w:val="center"/>
          </w:tcPr>
          <w:p w14:paraId="1AEC5C79" w14:textId="77777777" w:rsidR="00A64370" w:rsidRDefault="00000000">
            <w:r>
              <w:rPr>
                <w:sz w:val="13"/>
              </w:rPr>
              <w:t>0.787</w:t>
            </w:r>
          </w:p>
        </w:tc>
        <w:tc>
          <w:tcPr>
            <w:tcW w:w="1094" w:type="dxa"/>
            <w:shd w:val="clear" w:color="auto" w:fill="F7F9FC"/>
            <w:tcMar>
              <w:top w:w="45" w:type="dxa"/>
              <w:left w:w="55" w:type="dxa"/>
              <w:bottom w:w="45" w:type="dxa"/>
              <w:right w:w="55" w:type="dxa"/>
            </w:tcMar>
            <w:vAlign w:val="center"/>
          </w:tcPr>
          <w:p w14:paraId="78A45C1B" w14:textId="77777777" w:rsidR="00A64370" w:rsidRDefault="00000000">
            <w:r>
              <w:rPr>
                <w:sz w:val="13"/>
              </w:rPr>
              <w:t>0.429</w:t>
            </w:r>
          </w:p>
        </w:tc>
        <w:tc>
          <w:tcPr>
            <w:tcW w:w="893" w:type="dxa"/>
            <w:shd w:val="clear" w:color="auto" w:fill="F7F9FC"/>
            <w:tcMar>
              <w:top w:w="45" w:type="dxa"/>
              <w:left w:w="55" w:type="dxa"/>
              <w:bottom w:w="45" w:type="dxa"/>
              <w:right w:w="55" w:type="dxa"/>
            </w:tcMar>
            <w:vAlign w:val="center"/>
          </w:tcPr>
          <w:p w14:paraId="546E62F5" w14:textId="77777777" w:rsidR="00A64370" w:rsidRDefault="00000000">
            <w:r>
              <w:rPr>
                <w:sz w:val="13"/>
              </w:rPr>
              <w:t>1.16</w:t>
            </w:r>
          </w:p>
        </w:tc>
        <w:tc>
          <w:tcPr>
            <w:tcW w:w="893" w:type="dxa"/>
            <w:shd w:val="clear" w:color="auto" w:fill="F7F9FC"/>
            <w:tcMar>
              <w:top w:w="45" w:type="dxa"/>
              <w:left w:w="55" w:type="dxa"/>
              <w:bottom w:w="45" w:type="dxa"/>
              <w:right w:w="55" w:type="dxa"/>
            </w:tcMar>
            <w:vAlign w:val="center"/>
          </w:tcPr>
          <w:p w14:paraId="29D72141" w14:textId="77777777" w:rsidR="00A64370" w:rsidRDefault="00000000">
            <w:r>
              <w:rPr>
                <w:sz w:val="13"/>
              </w:rPr>
              <w:t>65.80</w:t>
            </w:r>
          </w:p>
        </w:tc>
      </w:tr>
      <w:tr w:rsidR="00A64370" w14:paraId="022264A6" w14:textId="77777777">
        <w:trPr>
          <w:cantSplit/>
          <w:jc w:val="center"/>
        </w:trPr>
        <w:tc>
          <w:tcPr>
            <w:tcW w:w="749" w:type="dxa"/>
            <w:tcMar>
              <w:top w:w="45" w:type="dxa"/>
              <w:left w:w="55" w:type="dxa"/>
              <w:bottom w:w="45" w:type="dxa"/>
              <w:right w:w="55" w:type="dxa"/>
            </w:tcMar>
            <w:vAlign w:val="center"/>
          </w:tcPr>
          <w:p w14:paraId="1659B677" w14:textId="77777777" w:rsidR="00A64370" w:rsidRDefault="00000000">
            <w:pPr>
              <w:jc w:val="center"/>
            </w:pPr>
            <w:r>
              <w:rPr>
                <w:sz w:val="13"/>
              </w:rPr>
              <w:t>XGB</w:t>
            </w:r>
          </w:p>
        </w:tc>
        <w:tc>
          <w:tcPr>
            <w:tcW w:w="835" w:type="dxa"/>
            <w:tcMar>
              <w:top w:w="45" w:type="dxa"/>
              <w:left w:w="55" w:type="dxa"/>
              <w:bottom w:w="45" w:type="dxa"/>
              <w:right w:w="55" w:type="dxa"/>
            </w:tcMar>
            <w:vAlign w:val="center"/>
          </w:tcPr>
          <w:p w14:paraId="0AB9B7DE" w14:textId="77777777" w:rsidR="00A64370" w:rsidRDefault="00000000">
            <w:r>
              <w:rPr>
                <w:sz w:val="13"/>
              </w:rPr>
              <w:t>FP</w:t>
            </w:r>
          </w:p>
        </w:tc>
        <w:tc>
          <w:tcPr>
            <w:tcW w:w="432" w:type="dxa"/>
            <w:tcMar>
              <w:top w:w="45" w:type="dxa"/>
              <w:left w:w="55" w:type="dxa"/>
              <w:bottom w:w="45" w:type="dxa"/>
              <w:right w:w="55" w:type="dxa"/>
            </w:tcMar>
            <w:vAlign w:val="center"/>
          </w:tcPr>
          <w:p w14:paraId="11CF81D0" w14:textId="77777777" w:rsidR="00A64370" w:rsidRDefault="00000000">
            <w:r>
              <w:rPr>
                <w:sz w:val="13"/>
              </w:rPr>
              <w:t>15</w:t>
            </w:r>
          </w:p>
        </w:tc>
        <w:tc>
          <w:tcPr>
            <w:tcW w:w="1181" w:type="dxa"/>
            <w:tcMar>
              <w:top w:w="45" w:type="dxa"/>
              <w:left w:w="55" w:type="dxa"/>
              <w:bottom w:w="45" w:type="dxa"/>
              <w:right w:w="55" w:type="dxa"/>
            </w:tcMar>
            <w:vAlign w:val="center"/>
          </w:tcPr>
          <w:p w14:paraId="60B3CAF3" w14:textId="77777777" w:rsidR="00A64370" w:rsidRDefault="00000000">
            <w:r>
              <w:rPr>
                <w:sz w:val="13"/>
              </w:rPr>
              <w:t>0.111</w:t>
            </w:r>
          </w:p>
        </w:tc>
        <w:tc>
          <w:tcPr>
            <w:tcW w:w="1008" w:type="dxa"/>
            <w:tcMar>
              <w:top w:w="45" w:type="dxa"/>
              <w:left w:w="55" w:type="dxa"/>
              <w:bottom w:w="45" w:type="dxa"/>
              <w:right w:w="55" w:type="dxa"/>
            </w:tcMar>
            <w:vAlign w:val="center"/>
          </w:tcPr>
          <w:p w14:paraId="6C7DA391" w14:textId="77777777" w:rsidR="00A64370" w:rsidRDefault="00000000">
            <w:r>
              <w:rPr>
                <w:sz w:val="13"/>
              </w:rPr>
              <w:t>0.776</w:t>
            </w:r>
          </w:p>
        </w:tc>
        <w:tc>
          <w:tcPr>
            <w:tcW w:w="1094" w:type="dxa"/>
            <w:tcMar>
              <w:top w:w="45" w:type="dxa"/>
              <w:left w:w="55" w:type="dxa"/>
              <w:bottom w:w="45" w:type="dxa"/>
              <w:right w:w="55" w:type="dxa"/>
            </w:tcMar>
            <w:vAlign w:val="center"/>
          </w:tcPr>
          <w:p w14:paraId="2AF8E2F8" w14:textId="77777777" w:rsidR="00A64370" w:rsidRDefault="00000000">
            <w:r>
              <w:rPr>
                <w:sz w:val="13"/>
              </w:rPr>
              <w:t>0.429</w:t>
            </w:r>
          </w:p>
        </w:tc>
        <w:tc>
          <w:tcPr>
            <w:tcW w:w="893" w:type="dxa"/>
            <w:tcMar>
              <w:top w:w="45" w:type="dxa"/>
              <w:left w:w="55" w:type="dxa"/>
              <w:bottom w:w="45" w:type="dxa"/>
              <w:right w:w="55" w:type="dxa"/>
            </w:tcMar>
            <w:vAlign w:val="center"/>
          </w:tcPr>
          <w:p w14:paraId="29281026" w14:textId="77777777" w:rsidR="00A64370" w:rsidRDefault="00000000">
            <w:r>
              <w:rPr>
                <w:sz w:val="13"/>
              </w:rPr>
              <w:t>1.16</w:t>
            </w:r>
          </w:p>
        </w:tc>
        <w:tc>
          <w:tcPr>
            <w:tcW w:w="893" w:type="dxa"/>
            <w:tcMar>
              <w:top w:w="45" w:type="dxa"/>
              <w:left w:w="55" w:type="dxa"/>
              <w:bottom w:w="45" w:type="dxa"/>
              <w:right w:w="55" w:type="dxa"/>
            </w:tcMar>
            <w:vAlign w:val="center"/>
          </w:tcPr>
          <w:p w14:paraId="0100434C" w14:textId="77777777" w:rsidR="00A64370" w:rsidRDefault="00000000">
            <w:r>
              <w:rPr>
                <w:sz w:val="13"/>
              </w:rPr>
              <w:t>55.32</w:t>
            </w:r>
          </w:p>
        </w:tc>
      </w:tr>
      <w:tr w:rsidR="00A64370" w14:paraId="2BAAA0D0" w14:textId="77777777">
        <w:trPr>
          <w:cantSplit/>
          <w:jc w:val="center"/>
        </w:trPr>
        <w:tc>
          <w:tcPr>
            <w:tcW w:w="749" w:type="dxa"/>
            <w:shd w:val="clear" w:color="auto" w:fill="F7F9FC"/>
            <w:tcMar>
              <w:top w:w="45" w:type="dxa"/>
              <w:left w:w="55" w:type="dxa"/>
              <w:bottom w:w="45" w:type="dxa"/>
              <w:right w:w="55" w:type="dxa"/>
            </w:tcMar>
            <w:vAlign w:val="center"/>
          </w:tcPr>
          <w:p w14:paraId="7C7BE3F5" w14:textId="77777777" w:rsidR="00A64370" w:rsidRDefault="00000000">
            <w:pPr>
              <w:jc w:val="center"/>
            </w:pPr>
            <w:r>
              <w:rPr>
                <w:sz w:val="13"/>
              </w:rPr>
              <w:t>XGB</w:t>
            </w:r>
          </w:p>
        </w:tc>
        <w:tc>
          <w:tcPr>
            <w:tcW w:w="835" w:type="dxa"/>
            <w:shd w:val="clear" w:color="auto" w:fill="F7F9FC"/>
            <w:tcMar>
              <w:top w:w="45" w:type="dxa"/>
              <w:left w:w="55" w:type="dxa"/>
              <w:bottom w:w="45" w:type="dxa"/>
              <w:right w:w="55" w:type="dxa"/>
            </w:tcMar>
            <w:vAlign w:val="center"/>
          </w:tcPr>
          <w:p w14:paraId="37E5276C" w14:textId="77777777" w:rsidR="00A64370" w:rsidRDefault="00000000">
            <w:r>
              <w:rPr>
                <w:sz w:val="13"/>
              </w:rPr>
              <w:t>FN</w:t>
            </w:r>
          </w:p>
        </w:tc>
        <w:tc>
          <w:tcPr>
            <w:tcW w:w="432" w:type="dxa"/>
            <w:shd w:val="clear" w:color="auto" w:fill="F7F9FC"/>
            <w:tcMar>
              <w:top w:w="45" w:type="dxa"/>
              <w:left w:w="55" w:type="dxa"/>
              <w:bottom w:w="45" w:type="dxa"/>
              <w:right w:w="55" w:type="dxa"/>
            </w:tcMar>
            <w:vAlign w:val="center"/>
          </w:tcPr>
          <w:p w14:paraId="6D263DA9" w14:textId="77777777" w:rsidR="00A64370" w:rsidRDefault="00000000">
            <w:r>
              <w:rPr>
                <w:sz w:val="13"/>
              </w:rPr>
              <w:t>15</w:t>
            </w:r>
          </w:p>
        </w:tc>
        <w:tc>
          <w:tcPr>
            <w:tcW w:w="1181" w:type="dxa"/>
            <w:shd w:val="clear" w:color="auto" w:fill="F7F9FC"/>
            <w:tcMar>
              <w:top w:w="45" w:type="dxa"/>
              <w:left w:w="55" w:type="dxa"/>
              <w:bottom w:w="45" w:type="dxa"/>
              <w:right w:w="55" w:type="dxa"/>
            </w:tcMar>
            <w:vAlign w:val="center"/>
          </w:tcPr>
          <w:p w14:paraId="6F187E05" w14:textId="77777777" w:rsidR="00A64370" w:rsidRDefault="00000000">
            <w:r>
              <w:rPr>
                <w:sz w:val="13"/>
              </w:rPr>
              <w:t>0.250</w:t>
            </w:r>
          </w:p>
        </w:tc>
        <w:tc>
          <w:tcPr>
            <w:tcW w:w="1008" w:type="dxa"/>
            <w:shd w:val="clear" w:color="auto" w:fill="F7F9FC"/>
            <w:tcMar>
              <w:top w:w="45" w:type="dxa"/>
              <w:left w:w="55" w:type="dxa"/>
              <w:bottom w:w="45" w:type="dxa"/>
              <w:right w:w="55" w:type="dxa"/>
            </w:tcMar>
            <w:vAlign w:val="center"/>
          </w:tcPr>
          <w:p w14:paraId="19A768F3" w14:textId="77777777" w:rsidR="00A64370" w:rsidRDefault="00000000">
            <w:r>
              <w:rPr>
                <w:sz w:val="13"/>
              </w:rPr>
              <w:t>0.779</w:t>
            </w:r>
          </w:p>
        </w:tc>
        <w:tc>
          <w:tcPr>
            <w:tcW w:w="1094" w:type="dxa"/>
            <w:shd w:val="clear" w:color="auto" w:fill="F7F9FC"/>
            <w:tcMar>
              <w:top w:w="45" w:type="dxa"/>
              <w:left w:w="55" w:type="dxa"/>
              <w:bottom w:w="45" w:type="dxa"/>
              <w:right w:w="55" w:type="dxa"/>
            </w:tcMar>
            <w:vAlign w:val="center"/>
          </w:tcPr>
          <w:p w14:paraId="4671F1BE" w14:textId="77777777" w:rsidR="00A64370" w:rsidRDefault="00000000">
            <w:r>
              <w:rPr>
                <w:sz w:val="13"/>
              </w:rPr>
              <w:t>0.429</w:t>
            </w:r>
          </w:p>
        </w:tc>
        <w:tc>
          <w:tcPr>
            <w:tcW w:w="893" w:type="dxa"/>
            <w:shd w:val="clear" w:color="auto" w:fill="F7F9FC"/>
            <w:tcMar>
              <w:top w:w="45" w:type="dxa"/>
              <w:left w:w="55" w:type="dxa"/>
              <w:bottom w:w="45" w:type="dxa"/>
              <w:right w:w="55" w:type="dxa"/>
            </w:tcMar>
            <w:vAlign w:val="center"/>
          </w:tcPr>
          <w:p w14:paraId="1C53DA18" w14:textId="77777777" w:rsidR="00A64370" w:rsidRDefault="00000000">
            <w:r>
              <w:rPr>
                <w:sz w:val="13"/>
              </w:rPr>
              <w:t>1.16</w:t>
            </w:r>
          </w:p>
        </w:tc>
        <w:tc>
          <w:tcPr>
            <w:tcW w:w="893" w:type="dxa"/>
            <w:shd w:val="clear" w:color="auto" w:fill="F7F9FC"/>
            <w:tcMar>
              <w:top w:w="45" w:type="dxa"/>
              <w:left w:w="55" w:type="dxa"/>
              <w:bottom w:w="45" w:type="dxa"/>
              <w:right w:w="55" w:type="dxa"/>
            </w:tcMar>
            <w:vAlign w:val="center"/>
          </w:tcPr>
          <w:p w14:paraId="57E29CEA" w14:textId="77777777" w:rsidR="00A64370" w:rsidRDefault="00000000">
            <w:r>
              <w:rPr>
                <w:sz w:val="13"/>
              </w:rPr>
              <w:t>56.63</w:t>
            </w:r>
          </w:p>
        </w:tc>
      </w:tr>
    </w:tbl>
    <w:p w14:paraId="4BE8234E" w14:textId="77777777" w:rsidR="00A64370" w:rsidRDefault="00A64370">
      <w:pPr>
        <w:spacing w:after="20"/>
      </w:pPr>
    </w:p>
    <w:p w14:paraId="239F35B7" w14:textId="77777777" w:rsidR="00A64370" w:rsidRDefault="00000000">
      <w:pPr>
        <w:spacing w:after="32" w:line="259" w:lineRule="auto"/>
        <w:ind w:firstLine="259"/>
        <w:jc w:val="both"/>
      </w:pPr>
      <w:r>
        <w:rPr>
          <w:sz w:val="21"/>
        </w:rPr>
        <w:t>In Table IV, the median overlap of the top-five feature sets was low across outcomes. It reached 0.111 for FP in both models and for RF's FN group. Where the methods selected the same leading feature, median sign agreement was 1.0 for TP and TN but 0.5 for FN. LIME's local fits were stronger for XGB (median R² 0.776–0.801) than for RF (0.632–0.722). Seeded LIME stability was 0.429 for XGB and 0.667 for RF. Identical TreeSHAP calls returned the same values, although that result cannot establish stability under a different background or attribution rule.</w:t>
      </w:r>
    </w:p>
    <w:p w14:paraId="2DDC60CF" w14:textId="77777777" w:rsidR="00A64370" w:rsidRDefault="00000000">
      <w:pPr>
        <w:keepNext/>
        <w:keepLines/>
        <w:spacing w:before="60" w:after="20"/>
      </w:pPr>
      <w:r>
        <w:rPr>
          <w:b/>
          <w:sz w:val="21"/>
        </w:rPr>
        <w:t>B. Representative Local Explanation</w:t>
      </w:r>
    </w:p>
    <w:p w14:paraId="7A7AA8EE" w14:textId="77777777" w:rsidR="00A64370" w:rsidRDefault="00000000">
      <w:pPr>
        <w:spacing w:after="32" w:line="259" w:lineRule="auto"/>
        <w:ind w:firstLine="259"/>
        <w:jc w:val="both"/>
      </w:pPr>
      <w:r>
        <w:rPr>
          <w:sz w:val="21"/>
        </w:rPr>
        <w:t xml:space="preserve">Figure 4 compares real explanations for the same Random Forest true-positive prediction: test row 4,254, with an attack score of 0.9959. The SHAP waterfall highlighted </w:t>
      </w:r>
      <w:proofErr w:type="spellStart"/>
      <w:r>
        <w:rPr>
          <w:sz w:val="21"/>
        </w:rPr>
        <w:t>sload</w:t>
      </w:r>
      <w:proofErr w:type="spellEnd"/>
      <w:r>
        <w:rPr>
          <w:sz w:val="21"/>
        </w:rPr>
        <w:t xml:space="preserve">, state, rate, </w:t>
      </w:r>
      <w:proofErr w:type="spellStart"/>
      <w:r>
        <w:rPr>
          <w:sz w:val="21"/>
        </w:rPr>
        <w:t>ct_dst_sport_ltm</w:t>
      </w:r>
      <w:proofErr w:type="spellEnd"/>
      <w:r>
        <w:rPr>
          <w:sz w:val="21"/>
        </w:rPr>
        <w:t xml:space="preserve">, and </w:t>
      </w:r>
      <w:proofErr w:type="spellStart"/>
      <w:r>
        <w:rPr>
          <w:sz w:val="21"/>
        </w:rPr>
        <w:t>sttl</w:t>
      </w:r>
      <w:proofErr w:type="spellEnd"/>
      <w:r>
        <w:rPr>
          <w:sz w:val="21"/>
        </w:rPr>
        <w:t xml:space="preserve">. LIME instead emphasized proto, </w:t>
      </w:r>
      <w:proofErr w:type="spellStart"/>
      <w:r>
        <w:rPr>
          <w:sz w:val="21"/>
        </w:rPr>
        <w:t>sttl</w:t>
      </w:r>
      <w:proofErr w:type="spellEnd"/>
      <w:r>
        <w:rPr>
          <w:sz w:val="21"/>
        </w:rPr>
        <w:t xml:space="preserve">, </w:t>
      </w:r>
      <w:proofErr w:type="spellStart"/>
      <w:r>
        <w:rPr>
          <w:sz w:val="21"/>
        </w:rPr>
        <w:t>ct_state_ttl</w:t>
      </w:r>
      <w:proofErr w:type="spellEnd"/>
      <w:r>
        <w:rPr>
          <w:sz w:val="21"/>
        </w:rPr>
        <w:t xml:space="preserve">, </w:t>
      </w:r>
      <w:proofErr w:type="spellStart"/>
      <w:r>
        <w:rPr>
          <w:sz w:val="21"/>
        </w:rPr>
        <w:t>dttl</w:t>
      </w:r>
      <w:proofErr w:type="spellEnd"/>
      <w:r>
        <w:rPr>
          <w:sz w:val="21"/>
        </w:rPr>
        <w:t xml:space="preserve">, and state, with a local surrogate R² of 0.620. Only </w:t>
      </w:r>
      <w:proofErr w:type="spellStart"/>
      <w:r>
        <w:rPr>
          <w:sz w:val="21"/>
        </w:rPr>
        <w:t>sttl</w:t>
      </w:r>
      <w:proofErr w:type="spellEnd"/>
      <w:r>
        <w:rPr>
          <w:sz w:val="21"/>
        </w:rPr>
        <w:t xml:space="preserve"> and state appeared in both top-five sets, showing why one explanation method should not be treated as the single correct account of a prediction.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5400"/>
      </w:tblGrid>
      <w:tr w:rsidR="00A64370" w14:paraId="40233ADA" w14:textId="77777777">
        <w:trPr>
          <w:jc w:val="center"/>
        </w:trPr>
        <w:tc>
          <w:tcPr>
            <w:tcW w:w="5400" w:type="dxa"/>
            <w:tcMar>
              <w:top w:w="0" w:type="dxa"/>
              <w:left w:w="20" w:type="dxa"/>
              <w:bottom w:w="0" w:type="dxa"/>
              <w:right w:w="20" w:type="dxa"/>
            </w:tcMar>
            <w:vAlign w:val="center"/>
          </w:tcPr>
          <w:p w14:paraId="4EAFBA75" w14:textId="77777777" w:rsidR="00A64370" w:rsidRDefault="00000000">
            <w:pPr>
              <w:jc w:val="center"/>
            </w:pPr>
            <w:r>
              <w:rPr>
                <w:noProof/>
              </w:rPr>
              <w:drawing>
                <wp:inline distT="0" distB="0" distL="0" distR="0" wp14:anchorId="380E27E4" wp14:editId="121D2721">
                  <wp:extent cx="3246120" cy="2661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_shap_waterfall.png"/>
                          <pic:cNvPicPr/>
                        </pic:nvPicPr>
                        <pic:blipFill>
                          <a:blip r:embed="rId11"/>
                          <a:stretch>
                            <a:fillRect/>
                          </a:stretch>
                        </pic:blipFill>
                        <pic:spPr>
                          <a:xfrm>
                            <a:off x="0" y="0"/>
                            <a:ext cx="3246120" cy="2661150"/>
                          </a:xfrm>
                          <a:prstGeom prst="rect">
                            <a:avLst/>
                          </a:prstGeom>
                        </pic:spPr>
                      </pic:pic>
                    </a:graphicData>
                  </a:graphic>
                </wp:inline>
              </w:drawing>
            </w:r>
          </w:p>
        </w:tc>
        <w:tc>
          <w:tcPr>
            <w:tcW w:w="5400" w:type="dxa"/>
            <w:tcMar>
              <w:top w:w="0" w:type="dxa"/>
              <w:left w:w="20" w:type="dxa"/>
              <w:bottom w:w="0" w:type="dxa"/>
              <w:right w:w="20" w:type="dxa"/>
            </w:tcMar>
            <w:vAlign w:val="center"/>
          </w:tcPr>
          <w:p w14:paraId="4690E80E" w14:textId="77777777" w:rsidR="00A64370" w:rsidRDefault="00000000">
            <w:pPr>
              <w:jc w:val="center"/>
            </w:pPr>
            <w:r>
              <w:rPr>
                <w:noProof/>
              </w:rPr>
              <w:drawing>
                <wp:inline distT="0" distB="0" distL="0" distR="0" wp14:anchorId="0372EA8B" wp14:editId="6A9C89E5">
                  <wp:extent cx="3246120" cy="20540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_lime_explanation.png"/>
                          <pic:cNvPicPr/>
                        </pic:nvPicPr>
                        <pic:blipFill>
                          <a:blip r:embed="rId12"/>
                          <a:stretch>
                            <a:fillRect/>
                          </a:stretch>
                        </pic:blipFill>
                        <pic:spPr>
                          <a:xfrm>
                            <a:off x="0" y="0"/>
                            <a:ext cx="3246120" cy="2054089"/>
                          </a:xfrm>
                          <a:prstGeom prst="rect">
                            <a:avLst/>
                          </a:prstGeom>
                        </pic:spPr>
                      </pic:pic>
                    </a:graphicData>
                  </a:graphic>
                </wp:inline>
              </w:drawing>
            </w:r>
          </w:p>
        </w:tc>
      </w:tr>
    </w:tbl>
    <w:p w14:paraId="229587E7" w14:textId="77777777" w:rsidR="00A64370" w:rsidRDefault="00000000">
      <w:pPr>
        <w:keepLines/>
        <w:spacing w:before="20" w:after="40"/>
        <w:jc w:val="center"/>
      </w:pPr>
      <w:r>
        <w:rPr>
          <w:i/>
          <w:sz w:val="16"/>
        </w:rPr>
        <w:t>Fig. 4. Local explanations for the same Random Forest true-positive prediction: (a) SHAP waterfall and (b) LIME feature contributions</w:t>
      </w:r>
    </w:p>
    <w:p w14:paraId="5D8B6010" w14:textId="77777777" w:rsidR="00A64370" w:rsidRDefault="00000000">
      <w:pPr>
        <w:keepNext/>
        <w:keepLines/>
        <w:spacing w:before="60" w:after="20"/>
      </w:pPr>
      <w:r>
        <w:rPr>
          <w:b/>
          <w:sz w:val="21"/>
        </w:rPr>
        <w:lastRenderedPageBreak/>
        <w:t>C. False Positive and False Negative Analysis</w:t>
      </w:r>
    </w:p>
    <w:p w14:paraId="46F13A07" w14:textId="77777777" w:rsidR="00A64370" w:rsidRDefault="00000000">
      <w:pPr>
        <w:spacing w:after="32" w:line="259" w:lineRule="auto"/>
        <w:ind w:firstLine="259"/>
        <w:jc w:val="both"/>
      </w:pPr>
      <w:r>
        <w:rPr>
          <w:sz w:val="21"/>
        </w:rPr>
        <w:t>A false positive is a benign flow incorrectly labelled as an attack. Operationally, it creates an unnecessary alert and consumes analyst time; a sustained high false-positive rate can produce alert fatigue and delay investigation of real attacks. A false negative is an attack incorrectly labelled as benign. It is more dangerous because malicious traffic may pass without review. XAI does not fix either error automatically, but it helps an analyst inspect which observed features influenced the model's decision.</w:t>
      </w:r>
    </w:p>
    <w:p w14:paraId="2F4BEDD2" w14:textId="77777777" w:rsidR="00A64370" w:rsidRDefault="00000000">
      <w:pPr>
        <w:spacing w:after="32" w:line="259" w:lineRule="auto"/>
        <w:ind w:firstLine="259"/>
        <w:jc w:val="both"/>
      </w:pPr>
      <w:r>
        <w:rPr>
          <w:sz w:val="21"/>
        </w:rPr>
        <w:t xml:space="preserve">The error distribution exposes the model trade-off. Random Forest misclassified 22.87% of benign test flows as attacks, compared with 25.87% for </w:t>
      </w:r>
      <w:proofErr w:type="spellStart"/>
      <w:r>
        <w:rPr>
          <w:sz w:val="21"/>
        </w:rPr>
        <w:t>XGBoost</w:t>
      </w:r>
      <w:proofErr w:type="spellEnd"/>
      <w:r>
        <w:rPr>
          <w:sz w:val="21"/>
        </w:rPr>
        <w:t xml:space="preserve">. Most missed attacks were </w:t>
      </w:r>
      <w:proofErr w:type="spellStart"/>
      <w:r>
        <w:rPr>
          <w:sz w:val="21"/>
        </w:rPr>
        <w:t>Fuzzers</w:t>
      </w:r>
      <w:proofErr w:type="spellEnd"/>
      <w:r>
        <w:rPr>
          <w:sz w:val="21"/>
        </w:rPr>
        <w:t xml:space="preserve">: 759 of 6,062 for Random Forest (12.52%) and 636 of 6,062 for </w:t>
      </w:r>
      <w:proofErr w:type="spellStart"/>
      <w:r>
        <w:rPr>
          <w:sz w:val="21"/>
        </w:rPr>
        <w:t>XGBoost</w:t>
      </w:r>
      <w:proofErr w:type="spellEnd"/>
      <w:r>
        <w:rPr>
          <w:sz w:val="21"/>
        </w:rPr>
        <w:t xml:space="preserve"> (10.49%). Random Forest had 56 missed Exploits and only eight missed attacks across the remaining reported categories; </w:t>
      </w:r>
      <w:proofErr w:type="spellStart"/>
      <w:r>
        <w:rPr>
          <w:sz w:val="21"/>
        </w:rPr>
        <w:t>XGBoost</w:t>
      </w:r>
      <w:proofErr w:type="spellEnd"/>
      <w:r>
        <w:rPr>
          <w:sz w:val="21"/>
        </w:rPr>
        <w:t xml:space="preserve"> had 63 missed Exploits, 21 DoS, 19 Analysis, six Backdoors, seven Generic, four Shellcode, and two Reconnaissance cases. No Worms were missed by either model in this run.</w:t>
      </w:r>
    </w:p>
    <w:p w14:paraId="0EEF4B83" w14:textId="77777777" w:rsidR="00A64370" w:rsidRDefault="00000000">
      <w:pPr>
        <w:spacing w:after="32" w:line="259" w:lineRule="auto"/>
        <w:ind w:firstLine="259"/>
        <w:jc w:val="both"/>
      </w:pPr>
      <w:r>
        <w:rPr>
          <w:sz w:val="21"/>
        </w:rPr>
        <w:t>Errors expose a particular limit of feature attribution. SHAP assigns contributions within the fitted ensemble on its raw-output scale, whereas LIME fits a local approximation to probability outputs generated from perturbed records. Their low overlap on errors should therefore be shown to an analyst as a difference between methods. Neither attribution identifies the physical cause of an attack, and neither alone settles why a particular prediction failed.</w:t>
      </w:r>
    </w:p>
    <w:p w14:paraId="0D30993D" w14:textId="77777777" w:rsidR="00A64370" w:rsidRDefault="00A64370">
      <w:pPr>
        <w:sectPr w:rsidR="00A64370">
          <w:type w:val="continuous"/>
          <w:pgSz w:w="12240" w:h="15840" w:code="1"/>
          <w:pgMar w:top="893" w:right="720" w:bottom="792" w:left="720" w:header="360" w:footer="360" w:gutter="0"/>
          <w:cols w:space="288"/>
          <w:docGrid w:linePitch="360"/>
        </w:sectPr>
      </w:pPr>
    </w:p>
    <w:p w14:paraId="1C7378ED" w14:textId="77777777" w:rsidR="00A64370" w:rsidRPr="00D778EC" w:rsidRDefault="00000000">
      <w:pPr>
        <w:keepNext/>
        <w:keepLines/>
        <w:spacing w:before="100" w:after="40"/>
        <w:jc w:val="center"/>
        <w:rPr>
          <w:b/>
          <w:bCs/>
        </w:rPr>
      </w:pPr>
      <w:r w:rsidRPr="00D778EC">
        <w:rPr>
          <w:b/>
          <w:bCs/>
          <w:sz w:val="21"/>
        </w:rPr>
        <w:t>VII. DISCUSSION</w:t>
      </w:r>
    </w:p>
    <w:p w14:paraId="14F2E5AE" w14:textId="77777777" w:rsidR="00A64370" w:rsidRDefault="00000000">
      <w:pPr>
        <w:spacing w:after="32" w:line="259" w:lineRule="auto"/>
        <w:ind w:firstLine="259"/>
        <w:jc w:val="both"/>
      </w:pPr>
      <w:r>
        <w:rPr>
          <w:sz w:val="21"/>
        </w:rPr>
        <w:t xml:space="preserve">The results operate on two levels. Random Forest and </w:t>
      </w:r>
      <w:proofErr w:type="spellStart"/>
      <w:r>
        <w:rPr>
          <w:sz w:val="21"/>
        </w:rPr>
        <w:t>XGBoost</w:t>
      </w:r>
      <w:proofErr w:type="spellEnd"/>
      <w:r>
        <w:rPr>
          <w:sz w:val="21"/>
        </w:rPr>
        <w:t xml:space="preserve"> achieved recall values of 0.9818 and 0.9833, respectively, but their FPR values remained substantial at 0.2287 and 0.2587. Random Forest gives the better fixed-threshold balance; </w:t>
      </w:r>
      <w:proofErr w:type="spellStart"/>
      <w:r>
        <w:rPr>
          <w:sz w:val="21"/>
        </w:rPr>
        <w:t>XGBoost</w:t>
      </w:r>
      <w:proofErr w:type="spellEnd"/>
      <w:r>
        <w:rPr>
          <w:sz w:val="21"/>
        </w:rPr>
        <w:t xml:space="preserve"> gives the highest recall by a small margin. Explanation metrics show that the account presented to an </w:t>
      </w:r>
      <w:proofErr w:type="gramStart"/>
      <w:r>
        <w:rPr>
          <w:sz w:val="21"/>
        </w:rPr>
        <w:t>analyst changes</w:t>
      </w:r>
      <w:proofErr w:type="gramEnd"/>
      <w:r>
        <w:rPr>
          <w:sz w:val="21"/>
        </w:rPr>
        <w:t xml:space="preserve"> with the explainer, especially for errors.</w:t>
      </w:r>
    </w:p>
    <w:p w14:paraId="456205EC" w14:textId="77777777" w:rsidR="00A64370" w:rsidRDefault="00000000">
      <w:pPr>
        <w:spacing w:after="32" w:line="259" w:lineRule="auto"/>
        <w:ind w:firstLine="259"/>
        <w:jc w:val="both"/>
      </w:pPr>
      <w:r>
        <w:rPr>
          <w:sz w:val="21"/>
        </w:rPr>
        <w:t>Post-hoc explanation does not change a fixed model's predictions. Adding SHAP or LIME therefore cannot directly improve accuracy, recall, or false-positive rate. Explanations may support later model redesign, feature review, or threshold adjustment, but each change requires validation on data that did not inform the change. Once test cases guide redesign, those cases are no longer an untouched final evaluation set.</w:t>
      </w:r>
    </w:p>
    <w:p w14:paraId="5C8A1409" w14:textId="77777777" w:rsidR="00A64370" w:rsidRDefault="00000000">
      <w:pPr>
        <w:spacing w:after="32" w:line="259" w:lineRule="auto"/>
        <w:ind w:firstLine="259"/>
        <w:jc w:val="both"/>
      </w:pPr>
      <w:r>
        <w:rPr>
          <w:sz w:val="21"/>
        </w:rPr>
        <w:t>Claims about trust and practical usability require evidence from security analysts. The present benchmark can demonstrate feature visibility, explanation consistency, and processing cost. It cannot demonstrate faster triage, better analyst decisions, or greater trust without a user study. This boundary is important because readable plots may still omit dependencies or reflect artefacts in the data.</w:t>
      </w:r>
    </w:p>
    <w:p w14:paraId="382F8D4A" w14:textId="77777777" w:rsidR="00A64370" w:rsidRDefault="00000000">
      <w:pPr>
        <w:spacing w:after="32" w:line="259" w:lineRule="auto"/>
        <w:ind w:firstLine="259"/>
        <w:jc w:val="both"/>
      </w:pPr>
      <w:r>
        <w:rPr>
          <w:sz w:val="21"/>
        </w:rPr>
        <w:t xml:space="preserve">Operational preference determines the model choice. Random Forest reduced false alarms by 1,110 </w:t>
      </w:r>
      <w:proofErr w:type="gramStart"/>
      <w:r>
        <w:rPr>
          <w:sz w:val="21"/>
        </w:rPr>
        <w:t>relative</w:t>
      </w:r>
      <w:proofErr w:type="gramEnd"/>
      <w:r>
        <w:rPr>
          <w:sz w:val="21"/>
        </w:rPr>
        <w:t xml:space="preserve"> to </w:t>
      </w:r>
      <w:proofErr w:type="spellStart"/>
      <w:r>
        <w:rPr>
          <w:sz w:val="21"/>
        </w:rPr>
        <w:t>XGBoost</w:t>
      </w:r>
      <w:proofErr w:type="spellEnd"/>
      <w:r>
        <w:rPr>
          <w:sz w:val="21"/>
        </w:rPr>
        <w:t xml:space="preserve">, which matters when benign volume is high. </w:t>
      </w:r>
      <w:proofErr w:type="spellStart"/>
      <w:r>
        <w:rPr>
          <w:sz w:val="21"/>
        </w:rPr>
        <w:t>XGBoost</w:t>
      </w:r>
      <w:proofErr w:type="spellEnd"/>
      <w:r>
        <w:rPr>
          <w:sz w:val="21"/>
        </w:rPr>
        <w:t xml:space="preserve"> detected 65 additional attacks and missed fewer </w:t>
      </w:r>
      <w:proofErr w:type="spellStart"/>
      <w:r>
        <w:rPr>
          <w:sz w:val="21"/>
        </w:rPr>
        <w:t>Fuzzers</w:t>
      </w:r>
      <w:proofErr w:type="spellEnd"/>
      <w:r>
        <w:rPr>
          <w:sz w:val="21"/>
        </w:rPr>
        <w:t>, which may matter when missed activity carries the dominant cost. Neither fixed threshold is deployment-ready without site-specific calibration.</w:t>
      </w:r>
    </w:p>
    <w:p w14:paraId="134C1891" w14:textId="77777777" w:rsidR="00A64370" w:rsidRDefault="00000000">
      <w:pPr>
        <w:spacing w:after="32" w:line="259" w:lineRule="auto"/>
        <w:ind w:firstLine="259"/>
        <w:jc w:val="both"/>
      </w:pPr>
      <w:r>
        <w:rPr>
          <w:sz w:val="21"/>
        </w:rPr>
        <w:t>In this implementation, approximate TreeSHAP took about 1.16–3.99 ms per sampled record and LIME about 55–105 ms. The difference favours SHAP when many alerts must be reviewed, with LIME reserved for cases where an additional local account would be informative. For those cases, the disagreement itself should remain visible to the reviewer rather than being resolved by selecting whichever plot looks more convincing.</w:t>
      </w:r>
    </w:p>
    <w:p w14:paraId="69572D7E" w14:textId="77777777" w:rsidR="00A64370" w:rsidRPr="00D778EC" w:rsidRDefault="00000000">
      <w:pPr>
        <w:keepNext/>
        <w:keepLines/>
        <w:spacing w:before="100" w:after="40"/>
        <w:jc w:val="center"/>
        <w:rPr>
          <w:b/>
          <w:bCs/>
        </w:rPr>
      </w:pPr>
      <w:r w:rsidRPr="00D778EC">
        <w:rPr>
          <w:b/>
          <w:bCs/>
          <w:sz w:val="21"/>
        </w:rPr>
        <w:t>VIII. LIMITATIONS</w:t>
      </w:r>
    </w:p>
    <w:p w14:paraId="50792B2A" w14:textId="77777777" w:rsidR="00A64370" w:rsidRDefault="00000000">
      <w:pPr>
        <w:spacing w:after="32" w:line="259" w:lineRule="auto"/>
        <w:ind w:firstLine="259"/>
        <w:jc w:val="both"/>
      </w:pPr>
      <w:r>
        <w:rPr>
          <w:sz w:val="21"/>
        </w:rPr>
        <w:t>The published UNSW-NB15 split offers a fixed benchmark, but its laboratory traffic cannot establish performance on contemporary operational networks or encrypted applications. We did not measure transfer across sites or time periods. Combining all attacks into one positive class also masks category differences, and categories with very few errors cannot support stable subgroup estimates.</w:t>
      </w:r>
    </w:p>
    <w:p w14:paraId="5379D5C7" w14:textId="77777777" w:rsidR="00A64370" w:rsidRDefault="00000000">
      <w:pPr>
        <w:spacing w:after="32" w:line="259" w:lineRule="auto"/>
        <w:ind w:firstLine="259"/>
        <w:jc w:val="both"/>
      </w:pPr>
      <w:r>
        <w:rPr>
          <w:sz w:val="21"/>
        </w:rPr>
        <w:t>Our explanation findings are conditional on the encoded features, the fitted models, and the explainer settings. Correlation among attributes, aggregation of one-hot columns, approximate TreeSHAP, and LIME's sampling procedure may all change the attribution pattern. Local comparison used 15 records per outcome and the global analysis used 1,000 records. We did not vary SHAP backgrounds, calculate confidence intervals, or conduct an analyst study. The observed plots and metrics therefore cannot establish how useful the explanations would be during real triage.</w:t>
      </w:r>
    </w:p>
    <w:p w14:paraId="040B263D" w14:textId="77777777" w:rsidR="00A64370" w:rsidRPr="00D778EC" w:rsidRDefault="00000000">
      <w:pPr>
        <w:keepNext/>
        <w:keepLines/>
        <w:spacing w:before="100" w:after="40"/>
        <w:jc w:val="center"/>
        <w:rPr>
          <w:b/>
          <w:bCs/>
        </w:rPr>
      </w:pPr>
      <w:r w:rsidRPr="00D778EC">
        <w:rPr>
          <w:b/>
          <w:bCs/>
          <w:sz w:val="21"/>
        </w:rPr>
        <w:t>IX. FUTURE SCOPE</w:t>
      </w:r>
    </w:p>
    <w:p w14:paraId="3AC697B3" w14:textId="77777777" w:rsidR="00A64370" w:rsidRDefault="00000000">
      <w:pPr>
        <w:spacing w:after="32" w:line="259" w:lineRule="auto"/>
        <w:ind w:firstLine="259"/>
        <w:jc w:val="both"/>
      </w:pPr>
      <w:r>
        <w:rPr>
          <w:sz w:val="21"/>
        </w:rPr>
        <w:t>A next experiment could distinguish attack categories instead of combining them, then evaluate the resulting models across time periods and on another traffic collection. Counterfactual examples would add a different question to the attribution analysis: which feasible changes to a record would change its classification? An analyst study could test whether showing explanations improves decisions or review time and whether method disagreement changes confidence. It would also be useful to profile explanations only for selected high-risk alerts.</w:t>
      </w:r>
    </w:p>
    <w:p w14:paraId="6FB687F0" w14:textId="77777777" w:rsidR="00A64370" w:rsidRPr="00D778EC" w:rsidRDefault="00000000">
      <w:pPr>
        <w:keepNext/>
        <w:keepLines/>
        <w:spacing w:before="100" w:after="40"/>
        <w:jc w:val="center"/>
        <w:rPr>
          <w:b/>
          <w:bCs/>
        </w:rPr>
      </w:pPr>
      <w:r w:rsidRPr="00D778EC">
        <w:rPr>
          <w:b/>
          <w:bCs/>
          <w:sz w:val="21"/>
        </w:rPr>
        <w:t>X. CONCLUSION</w:t>
      </w:r>
    </w:p>
    <w:p w14:paraId="488A0131" w14:textId="77777777" w:rsidR="00A64370" w:rsidRDefault="00000000">
      <w:pPr>
        <w:spacing w:after="32" w:line="259" w:lineRule="auto"/>
        <w:ind w:firstLine="259"/>
        <w:jc w:val="both"/>
      </w:pPr>
      <w:r>
        <w:rPr>
          <w:sz w:val="21"/>
        </w:rPr>
        <w:t xml:space="preserve">On the official UNSW-NB15 test partition, RF gave the stronger fixed-threshold F1 (0.9055) and lower false-positive rate (0.2287), whereas XGB recalled slightly more attacks (0.9833). Their global SHAP rankings shared several leading traffic attributes but diverged across the full feature list. At the record level, SHAP and LIME often selected different leading evidence, especially for false alarms, and LIME took longer to compute. These explanations did not alter either classifier's </w:t>
      </w:r>
      <w:r>
        <w:rPr>
          <w:sz w:val="21"/>
        </w:rPr>
        <w:lastRenderedPageBreak/>
        <w:t>predictions. They provided a way to inspect the models' decisions, subject to the dependence on explainer choice and the limits of the benchmark.</w:t>
      </w:r>
    </w:p>
    <w:p w14:paraId="715C8A24" w14:textId="77777777" w:rsidR="00A64370" w:rsidRPr="00D778EC" w:rsidRDefault="00000000">
      <w:pPr>
        <w:keepNext/>
        <w:keepLines/>
        <w:spacing w:before="100" w:after="40"/>
        <w:jc w:val="center"/>
        <w:rPr>
          <w:b/>
          <w:bCs/>
        </w:rPr>
      </w:pPr>
      <w:r w:rsidRPr="00D778EC">
        <w:rPr>
          <w:b/>
          <w:bCs/>
          <w:sz w:val="21"/>
        </w:rPr>
        <w:t>REFERENCES</w:t>
      </w:r>
    </w:p>
    <w:p w14:paraId="062C8303" w14:textId="77777777" w:rsidR="00A64370" w:rsidRDefault="00000000">
      <w:pPr>
        <w:spacing w:after="26"/>
        <w:ind w:left="317" w:hanging="317"/>
        <w:jc w:val="both"/>
      </w:pPr>
      <w:r>
        <w:rPr>
          <w:sz w:val="16"/>
        </w:rPr>
        <w:t>[1] N. Moustafa and J. Slay, “UNSW-NB15: A comprehensive data set for network intrusion detection systems (UNSW-NB15 network data set),” in 2015 Military Communications and Information Systems Conference (</w:t>
      </w:r>
      <w:proofErr w:type="spellStart"/>
      <w:r>
        <w:rPr>
          <w:sz w:val="16"/>
        </w:rPr>
        <w:t>MilCIS</w:t>
      </w:r>
      <w:proofErr w:type="spellEnd"/>
      <w:r>
        <w:rPr>
          <w:sz w:val="16"/>
        </w:rPr>
        <w:t xml:space="preserve">), 2015, pp. 1–6, </w:t>
      </w:r>
      <w:proofErr w:type="spellStart"/>
      <w:r>
        <w:rPr>
          <w:sz w:val="16"/>
        </w:rPr>
        <w:t>doi</w:t>
      </w:r>
      <w:proofErr w:type="spellEnd"/>
      <w:r>
        <w:rPr>
          <w:sz w:val="16"/>
        </w:rPr>
        <w:t>: 10.1109/MilCIS.2015.7348942.</w:t>
      </w:r>
    </w:p>
    <w:p w14:paraId="74AACE59" w14:textId="77777777" w:rsidR="00A64370" w:rsidRDefault="00000000">
      <w:pPr>
        <w:spacing w:after="26"/>
        <w:ind w:left="317" w:hanging="317"/>
        <w:jc w:val="both"/>
      </w:pPr>
      <w:r>
        <w:rPr>
          <w:sz w:val="16"/>
        </w:rPr>
        <w:t xml:space="preserve">[2] M. T. Ribeiro, S. Singh, and C. </w:t>
      </w:r>
      <w:proofErr w:type="spellStart"/>
      <w:r>
        <w:rPr>
          <w:sz w:val="16"/>
        </w:rPr>
        <w:t>Guestrin</w:t>
      </w:r>
      <w:proofErr w:type="spellEnd"/>
      <w:r>
        <w:rPr>
          <w:sz w:val="16"/>
        </w:rPr>
        <w:t xml:space="preserve">, “Why should I trust </w:t>
      </w:r>
      <w:proofErr w:type="gramStart"/>
      <w:r>
        <w:rPr>
          <w:sz w:val="16"/>
        </w:rPr>
        <w:t>you?:</w:t>
      </w:r>
      <w:proofErr w:type="gramEnd"/>
      <w:r>
        <w:rPr>
          <w:sz w:val="16"/>
        </w:rPr>
        <w:t xml:space="preserve"> Explaining the predictions of any classifier,” in Proc. 22nd ACM SIGKDD Int. Conf. Knowledge Discovery and Data Mining, 2016, pp. 1135–1144, </w:t>
      </w:r>
      <w:proofErr w:type="spellStart"/>
      <w:r>
        <w:rPr>
          <w:sz w:val="16"/>
        </w:rPr>
        <w:t>doi</w:t>
      </w:r>
      <w:proofErr w:type="spellEnd"/>
      <w:r>
        <w:rPr>
          <w:sz w:val="16"/>
        </w:rPr>
        <w:t>: 10.1145/2939672.2939778.</w:t>
      </w:r>
    </w:p>
    <w:p w14:paraId="57BB1861" w14:textId="77777777" w:rsidR="00A64370" w:rsidRDefault="00000000">
      <w:pPr>
        <w:spacing w:after="26"/>
        <w:ind w:left="317" w:hanging="317"/>
        <w:jc w:val="both"/>
      </w:pPr>
      <w:r>
        <w:rPr>
          <w:sz w:val="16"/>
        </w:rPr>
        <w:t>[3] S. M. Lundberg and S.-I. Lee, “A unified approach to interpreting model predictions,” in Advances in Neural Information Processing Systems, vol. 30, 2017, pp. 4765–4774.</w:t>
      </w:r>
    </w:p>
    <w:p w14:paraId="3FA31861" w14:textId="77777777" w:rsidR="00A64370" w:rsidRDefault="00000000">
      <w:pPr>
        <w:spacing w:after="26"/>
        <w:ind w:left="317" w:hanging="317"/>
        <w:jc w:val="both"/>
      </w:pPr>
      <w:r>
        <w:rPr>
          <w:sz w:val="16"/>
        </w:rPr>
        <w:t xml:space="preserve">[4] M. Wang, K. Zheng, Y. Yang, and X. Wang, “An explainable machine learning framework for intrusion detection systems,” IEEE Access, vol. 8, pp. 73127–73141, 2020, </w:t>
      </w:r>
      <w:proofErr w:type="spellStart"/>
      <w:r>
        <w:rPr>
          <w:sz w:val="16"/>
        </w:rPr>
        <w:t>doi</w:t>
      </w:r>
      <w:proofErr w:type="spellEnd"/>
      <w:r>
        <w:rPr>
          <w:sz w:val="16"/>
        </w:rPr>
        <w:t>: 10.1109/ACCESS.2020.2988359.</w:t>
      </w:r>
    </w:p>
    <w:p w14:paraId="6EEB2497" w14:textId="77777777" w:rsidR="00A64370" w:rsidRDefault="00000000">
      <w:pPr>
        <w:spacing w:after="26"/>
        <w:ind w:left="317" w:hanging="317"/>
        <w:jc w:val="both"/>
      </w:pPr>
      <w:r>
        <w:rPr>
          <w:sz w:val="16"/>
        </w:rPr>
        <w:t xml:space="preserve">[5] S. Patil et al., “Explainable artificial intelligence for intrusion detection system,” Electronics, vol. 11, no. 19, Art. no. 3079, 2022, </w:t>
      </w:r>
      <w:proofErr w:type="spellStart"/>
      <w:r>
        <w:rPr>
          <w:sz w:val="16"/>
        </w:rPr>
        <w:t>doi</w:t>
      </w:r>
      <w:proofErr w:type="spellEnd"/>
      <w:r>
        <w:rPr>
          <w:sz w:val="16"/>
        </w:rPr>
        <w:t>: 10.3390/electronics11193079.</w:t>
      </w:r>
    </w:p>
    <w:p w14:paraId="4DE7AF83" w14:textId="77777777" w:rsidR="00A64370" w:rsidRDefault="00000000">
      <w:pPr>
        <w:spacing w:after="26"/>
        <w:ind w:left="317" w:hanging="317"/>
        <w:jc w:val="both"/>
      </w:pPr>
      <w:r>
        <w:rPr>
          <w:sz w:val="16"/>
        </w:rPr>
        <w:t>[6] F. Wei, H. Li, Z. Zhao, and H. Hu, “</w:t>
      </w:r>
      <w:proofErr w:type="spellStart"/>
      <w:r>
        <w:rPr>
          <w:sz w:val="16"/>
        </w:rPr>
        <w:t>xNIDS</w:t>
      </w:r>
      <w:proofErr w:type="spellEnd"/>
      <w:r>
        <w:rPr>
          <w:sz w:val="16"/>
        </w:rPr>
        <w:t>: Explaining deep learning-based network intrusion detection systems for active intrusion responses,” in 32nd USENIX Security Symposium, 2023, pp. 4337–4354.</w:t>
      </w:r>
    </w:p>
    <w:p w14:paraId="4C451BC4" w14:textId="77777777" w:rsidR="00A64370" w:rsidRDefault="00000000">
      <w:pPr>
        <w:spacing w:after="26"/>
        <w:ind w:left="317" w:hanging="317"/>
        <w:jc w:val="both"/>
      </w:pPr>
      <w:r>
        <w:rPr>
          <w:sz w:val="16"/>
        </w:rPr>
        <w:t xml:space="preserve">[7] O. </w:t>
      </w:r>
      <w:proofErr w:type="spellStart"/>
      <w:r>
        <w:rPr>
          <w:sz w:val="16"/>
        </w:rPr>
        <w:t>Arreche</w:t>
      </w:r>
      <w:proofErr w:type="spellEnd"/>
      <w:r>
        <w:rPr>
          <w:sz w:val="16"/>
        </w:rPr>
        <w:t xml:space="preserve">, T. Guntur, and M. Abdallah, “XAI-IDS: Toward proposing an explainable artificial intelligence framework for enhancing network intrusion detection systems,” Applied Sciences, vol. 14, no. 10, Art. no. 4170, 2024, </w:t>
      </w:r>
      <w:proofErr w:type="spellStart"/>
      <w:r>
        <w:rPr>
          <w:sz w:val="16"/>
        </w:rPr>
        <w:t>doi</w:t>
      </w:r>
      <w:proofErr w:type="spellEnd"/>
      <w:r>
        <w:rPr>
          <w:sz w:val="16"/>
        </w:rPr>
        <w:t>: 10.3390/app14104170.</w:t>
      </w:r>
    </w:p>
    <w:p w14:paraId="12470C9E" w14:textId="77777777" w:rsidR="00A64370" w:rsidRDefault="00000000">
      <w:pPr>
        <w:spacing w:after="26"/>
        <w:ind w:left="317" w:hanging="317"/>
        <w:jc w:val="both"/>
      </w:pPr>
      <w:r>
        <w:rPr>
          <w:sz w:val="16"/>
        </w:rPr>
        <w:t xml:space="preserve">[8] D. Gaspar, P. Silva, and C. Silva, “Explainable AI for intrusion detection systems: LIME and SHAP applicability on multi-layer perceptron,” IEEE Access, vol. 12, pp. 30164–30175, 2024, </w:t>
      </w:r>
      <w:proofErr w:type="spellStart"/>
      <w:r>
        <w:rPr>
          <w:sz w:val="16"/>
        </w:rPr>
        <w:t>doi</w:t>
      </w:r>
      <w:proofErr w:type="spellEnd"/>
      <w:r>
        <w:rPr>
          <w:sz w:val="16"/>
        </w:rPr>
        <w:t>: 10.1109/ACCESS.2024.3368377.</w:t>
      </w:r>
    </w:p>
    <w:p w14:paraId="4ABBB7C7" w14:textId="77777777" w:rsidR="00A64370" w:rsidRDefault="00000000">
      <w:pPr>
        <w:spacing w:after="26"/>
        <w:ind w:left="317" w:hanging="317"/>
        <w:jc w:val="both"/>
      </w:pPr>
      <w:r>
        <w:rPr>
          <w:sz w:val="16"/>
        </w:rPr>
        <w:t xml:space="preserve">[9] M. Mia, M. M. A. </w:t>
      </w:r>
      <w:proofErr w:type="spellStart"/>
      <w:r>
        <w:rPr>
          <w:sz w:val="16"/>
        </w:rPr>
        <w:t>Pritom</w:t>
      </w:r>
      <w:proofErr w:type="spellEnd"/>
      <w:r>
        <w:rPr>
          <w:sz w:val="16"/>
        </w:rPr>
        <w:t xml:space="preserve">, T. Islam, and K. Hasan, “Visually analyze SHAP plots to diagnose misclassifications in ML-based intrusion detection,” in 2024 IEEE International Conference on Data Mining Workshops, 2024, pp. 632–641, </w:t>
      </w:r>
      <w:proofErr w:type="spellStart"/>
      <w:r>
        <w:rPr>
          <w:sz w:val="16"/>
        </w:rPr>
        <w:t>doi</w:t>
      </w:r>
      <w:proofErr w:type="spellEnd"/>
      <w:r>
        <w:rPr>
          <w:sz w:val="16"/>
        </w:rPr>
        <w:t>: 10.1109/ICDMW65004.2024.00088.</w:t>
      </w:r>
    </w:p>
    <w:p w14:paraId="1E8637D8" w14:textId="77777777" w:rsidR="00A64370" w:rsidRDefault="00000000">
      <w:pPr>
        <w:spacing w:after="26"/>
        <w:ind w:left="317" w:hanging="317"/>
        <w:jc w:val="both"/>
      </w:pPr>
      <w:r>
        <w:rPr>
          <w:sz w:val="16"/>
        </w:rPr>
        <w:t xml:space="preserve">[10] P. Hermosilla, S. Berríos, and H. Allende-Cid, “Explainable AI for forensic analysis: A comparative study of SHAP and LIME in intrusion detection models,” Applied Sciences, vol. 15, no. 13, Art. no. 7329, 2025, </w:t>
      </w:r>
      <w:proofErr w:type="spellStart"/>
      <w:r>
        <w:rPr>
          <w:sz w:val="16"/>
        </w:rPr>
        <w:t>doi</w:t>
      </w:r>
      <w:proofErr w:type="spellEnd"/>
      <w:r>
        <w:rPr>
          <w:sz w:val="16"/>
        </w:rPr>
        <w:t>: 10.3390/app15137329.</w:t>
      </w:r>
    </w:p>
    <w:p w14:paraId="1E191830" w14:textId="77777777" w:rsidR="00A64370" w:rsidRDefault="00000000">
      <w:pPr>
        <w:spacing w:after="26"/>
        <w:ind w:left="317" w:hanging="317"/>
        <w:jc w:val="both"/>
      </w:pPr>
      <w:r>
        <w:rPr>
          <w:sz w:val="16"/>
        </w:rPr>
        <w:t xml:space="preserve">[11] V. Z. Mohale and I. C. </w:t>
      </w:r>
      <w:proofErr w:type="spellStart"/>
      <w:r>
        <w:rPr>
          <w:sz w:val="16"/>
        </w:rPr>
        <w:t>Obagbuwa</w:t>
      </w:r>
      <w:proofErr w:type="spellEnd"/>
      <w:r>
        <w:rPr>
          <w:sz w:val="16"/>
        </w:rPr>
        <w:t xml:space="preserve">, “A systematic review on the integration of explainable artificial intelligence in intrusion detection systems to enhancing transparency and interpretability in cybersecurity,” Frontiers in Artificial Intelligence, vol. 8, Art. no. 1526221, 2025, </w:t>
      </w:r>
      <w:proofErr w:type="spellStart"/>
      <w:r>
        <w:rPr>
          <w:sz w:val="16"/>
        </w:rPr>
        <w:t>doi</w:t>
      </w:r>
      <w:proofErr w:type="spellEnd"/>
      <w:r>
        <w:rPr>
          <w:sz w:val="16"/>
        </w:rPr>
        <w:t>: 10.3389/frai.2025.1526221.</w:t>
      </w:r>
    </w:p>
    <w:p w14:paraId="43C19E30" w14:textId="77777777" w:rsidR="00A64370" w:rsidRDefault="00000000">
      <w:pPr>
        <w:spacing w:after="26"/>
        <w:ind w:left="317" w:hanging="317"/>
        <w:jc w:val="both"/>
      </w:pPr>
      <w:r>
        <w:rPr>
          <w:sz w:val="16"/>
        </w:rPr>
        <w:t xml:space="preserve">[12] L. </w:t>
      </w:r>
      <w:proofErr w:type="spellStart"/>
      <w:r>
        <w:rPr>
          <w:sz w:val="16"/>
        </w:rPr>
        <w:t>Breiman</w:t>
      </w:r>
      <w:proofErr w:type="spellEnd"/>
      <w:r>
        <w:rPr>
          <w:sz w:val="16"/>
        </w:rPr>
        <w:t xml:space="preserve">, “Random forests,” Machine Learning, vol. 45, pp. 5–32, 2001, </w:t>
      </w:r>
      <w:proofErr w:type="spellStart"/>
      <w:r>
        <w:rPr>
          <w:sz w:val="16"/>
        </w:rPr>
        <w:t>doi</w:t>
      </w:r>
      <w:proofErr w:type="spellEnd"/>
      <w:r>
        <w:rPr>
          <w:sz w:val="16"/>
        </w:rPr>
        <w:t>: 10.1023/A:1010933404324.</w:t>
      </w:r>
    </w:p>
    <w:p w14:paraId="75DE6C7A" w14:textId="77777777" w:rsidR="00A64370" w:rsidRDefault="00000000">
      <w:pPr>
        <w:spacing w:after="26"/>
        <w:ind w:left="317" w:hanging="317"/>
        <w:jc w:val="both"/>
      </w:pPr>
      <w:r>
        <w:rPr>
          <w:sz w:val="16"/>
        </w:rPr>
        <w:t xml:space="preserve">[13] T. Chen and C. </w:t>
      </w:r>
      <w:proofErr w:type="spellStart"/>
      <w:r>
        <w:rPr>
          <w:sz w:val="16"/>
        </w:rPr>
        <w:t>Guestrin</w:t>
      </w:r>
      <w:proofErr w:type="spellEnd"/>
      <w:r>
        <w:rPr>
          <w:sz w:val="16"/>
        </w:rPr>
        <w:t>, “</w:t>
      </w:r>
      <w:proofErr w:type="spellStart"/>
      <w:r>
        <w:rPr>
          <w:sz w:val="16"/>
        </w:rPr>
        <w:t>XGBoost</w:t>
      </w:r>
      <w:proofErr w:type="spellEnd"/>
      <w:r>
        <w:rPr>
          <w:sz w:val="16"/>
        </w:rPr>
        <w:t xml:space="preserve">: A scalable tree boosting system,” in Proc. 22nd ACM SIGKDD Int. Conf. Knowledge Discovery and Data Mining, 2016, pp. 785–794, </w:t>
      </w:r>
      <w:proofErr w:type="spellStart"/>
      <w:r>
        <w:rPr>
          <w:sz w:val="16"/>
        </w:rPr>
        <w:t>doi</w:t>
      </w:r>
      <w:proofErr w:type="spellEnd"/>
      <w:r>
        <w:rPr>
          <w:sz w:val="16"/>
        </w:rPr>
        <w:t>: 10.1145/2939672.2939785.</w:t>
      </w:r>
    </w:p>
    <w:sectPr w:rsidR="00A64370" w:rsidSect="00171E47">
      <w:type w:val="continuous"/>
      <w:pgSz w:w="12240" w:h="15840" w:code="1"/>
      <w:pgMar w:top="893" w:right="720" w:bottom="792" w:left="720" w:header="360" w:footer="360" w:gutter="0"/>
      <w:cols w:num="2"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2AD79" w14:textId="77777777" w:rsidR="0027261D" w:rsidRDefault="0027261D">
      <w:r>
        <w:separator/>
      </w:r>
    </w:p>
  </w:endnote>
  <w:endnote w:type="continuationSeparator" w:id="0">
    <w:p w14:paraId="7EA30CAD" w14:textId="77777777" w:rsidR="0027261D" w:rsidRDefault="0027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ECAEF" w14:textId="77777777" w:rsidR="00A64370" w:rsidRDefault="00000000">
    <w:pPr>
      <w:jc w:val="center"/>
    </w:pPr>
    <w:r>
      <w:rPr>
        <w:sz w:val="16"/>
      </w:rPr>
      <w:t xml:space="preserve">AI Applications in Cyber Security   |   Page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010D6" w14:textId="77777777" w:rsidR="0027261D" w:rsidRDefault="0027261D">
      <w:r>
        <w:separator/>
      </w:r>
    </w:p>
  </w:footnote>
  <w:footnote w:type="continuationSeparator" w:id="0">
    <w:p w14:paraId="1E62A2FA" w14:textId="77777777" w:rsidR="0027261D" w:rsidRDefault="0027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B83FB" w14:textId="77777777" w:rsidR="00A64370" w:rsidRDefault="00000000">
    <w:r>
      <w:rPr>
        <w:sz w:val="16"/>
      </w:rPr>
      <w:t>Explainable AI for Cybersecurity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E0C4A"/>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36243893"/>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 w15:restartNumberingAfterBreak="0">
    <w:nsid w:val="5C707EA7"/>
    <w:multiLevelType w:val="multilevel"/>
    <w:tmpl w:val="3B6AD2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66290139"/>
    <w:multiLevelType w:val="hybridMultilevel"/>
    <w:tmpl w:val="518859A6"/>
    <w:lvl w:ilvl="0" w:tplc="D8C2177E">
      <w:start w:val="1"/>
      <w:numFmt w:val="upperRoman"/>
      <w:lvlText w:val="%1."/>
      <w:lvlJc w:val="right"/>
      <w:pPr>
        <w:tabs>
          <w:tab w:val="num" w:pos="720"/>
        </w:tabs>
        <w:ind w:left="720" w:hanging="180"/>
      </w:pPr>
    </w:lvl>
    <w:lvl w:ilvl="1" w:tplc="BD0AA1A4" w:tentative="1">
      <w:start w:val="1"/>
      <w:numFmt w:val="lowerLetter"/>
      <w:lvlText w:val="%2."/>
      <w:lvlJc w:val="left"/>
      <w:pPr>
        <w:tabs>
          <w:tab w:val="num" w:pos="1440"/>
        </w:tabs>
        <w:ind w:left="1440" w:hanging="360"/>
      </w:pPr>
    </w:lvl>
    <w:lvl w:ilvl="2" w:tplc="7F00A96A" w:tentative="1">
      <w:start w:val="1"/>
      <w:numFmt w:val="lowerRoman"/>
      <w:lvlText w:val="%3."/>
      <w:lvlJc w:val="right"/>
      <w:pPr>
        <w:tabs>
          <w:tab w:val="num" w:pos="2160"/>
        </w:tabs>
        <w:ind w:left="2160" w:hanging="180"/>
      </w:pPr>
    </w:lvl>
    <w:lvl w:ilvl="3" w:tplc="E5A0A780">
      <w:start w:val="1"/>
      <w:numFmt w:val="decimal"/>
      <w:lvlText w:val="%4."/>
      <w:lvlJc w:val="left"/>
      <w:pPr>
        <w:tabs>
          <w:tab w:val="num" w:pos="2880"/>
        </w:tabs>
        <w:ind w:left="2880" w:hanging="360"/>
      </w:pPr>
    </w:lvl>
    <w:lvl w:ilvl="4" w:tplc="66508ACE" w:tentative="1">
      <w:start w:val="1"/>
      <w:numFmt w:val="lowerLetter"/>
      <w:lvlText w:val="%5."/>
      <w:lvlJc w:val="left"/>
      <w:pPr>
        <w:tabs>
          <w:tab w:val="num" w:pos="3600"/>
        </w:tabs>
        <w:ind w:left="3600" w:hanging="360"/>
      </w:pPr>
    </w:lvl>
    <w:lvl w:ilvl="5" w:tplc="679887E2" w:tentative="1">
      <w:start w:val="1"/>
      <w:numFmt w:val="lowerRoman"/>
      <w:lvlText w:val="%6."/>
      <w:lvlJc w:val="right"/>
      <w:pPr>
        <w:tabs>
          <w:tab w:val="num" w:pos="4320"/>
        </w:tabs>
        <w:ind w:left="4320" w:hanging="180"/>
      </w:pPr>
    </w:lvl>
    <w:lvl w:ilvl="6" w:tplc="51601FEA" w:tentative="1">
      <w:start w:val="1"/>
      <w:numFmt w:val="decimal"/>
      <w:lvlText w:val="%7."/>
      <w:lvlJc w:val="left"/>
      <w:pPr>
        <w:tabs>
          <w:tab w:val="num" w:pos="5040"/>
        </w:tabs>
        <w:ind w:left="5040" w:hanging="360"/>
      </w:pPr>
    </w:lvl>
    <w:lvl w:ilvl="7" w:tplc="BED8D3E0" w:tentative="1">
      <w:start w:val="1"/>
      <w:numFmt w:val="lowerLetter"/>
      <w:lvlText w:val="%8."/>
      <w:lvlJc w:val="left"/>
      <w:pPr>
        <w:tabs>
          <w:tab w:val="num" w:pos="5760"/>
        </w:tabs>
        <w:ind w:left="5760" w:hanging="360"/>
      </w:pPr>
    </w:lvl>
    <w:lvl w:ilvl="8" w:tplc="E9A02528" w:tentative="1">
      <w:start w:val="1"/>
      <w:numFmt w:val="lowerRoman"/>
      <w:lvlText w:val="%9."/>
      <w:lvlJc w:val="right"/>
      <w:pPr>
        <w:tabs>
          <w:tab w:val="num" w:pos="6480"/>
        </w:tabs>
        <w:ind w:left="6480" w:hanging="180"/>
      </w:pPr>
    </w:lvl>
  </w:abstractNum>
  <w:abstractNum w:abstractNumId="6"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7" w15:restartNumberingAfterBreak="0">
    <w:nsid w:val="770A01A7"/>
    <w:multiLevelType w:val="multilevel"/>
    <w:tmpl w:val="5E18422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7AC10ABC"/>
    <w:multiLevelType w:val="multilevel"/>
    <w:tmpl w:val="13C840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16cid:durableId="1631203823">
    <w:abstractNumId w:val="5"/>
  </w:num>
  <w:num w:numId="2" w16cid:durableId="1245653099">
    <w:abstractNumId w:val="2"/>
  </w:num>
  <w:num w:numId="3" w16cid:durableId="305085143">
    <w:abstractNumId w:val="6"/>
  </w:num>
  <w:num w:numId="4" w16cid:durableId="1948850812">
    <w:abstractNumId w:val="4"/>
  </w:num>
  <w:num w:numId="5" w16cid:durableId="1475564125">
    <w:abstractNumId w:val="0"/>
  </w:num>
  <w:num w:numId="6" w16cid:durableId="1494251535">
    <w:abstractNumId w:val="1"/>
  </w:num>
  <w:num w:numId="7" w16cid:durableId="786659421">
    <w:abstractNumId w:val="7"/>
  </w:num>
  <w:num w:numId="8" w16cid:durableId="1245334856">
    <w:abstractNumId w:val="8"/>
  </w:num>
  <w:num w:numId="9" w16cid:durableId="1236890917">
    <w:abstractNumId w:val="3"/>
  </w:num>
  <w:num w:numId="10" w16cid:durableId="1241716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ECB"/>
    <w:rsid w:val="0001039B"/>
    <w:rsid w:val="0001039C"/>
    <w:rsid w:val="00010B5D"/>
    <w:rsid w:val="0001381A"/>
    <w:rsid w:val="000171E6"/>
    <w:rsid w:val="00021BD3"/>
    <w:rsid w:val="00024A57"/>
    <w:rsid w:val="00025314"/>
    <w:rsid w:val="00030319"/>
    <w:rsid w:val="0003247D"/>
    <w:rsid w:val="000472B3"/>
    <w:rsid w:val="00051B15"/>
    <w:rsid w:val="000530D5"/>
    <w:rsid w:val="00060A16"/>
    <w:rsid w:val="00060FF0"/>
    <w:rsid w:val="0006388A"/>
    <w:rsid w:val="00063AEA"/>
    <w:rsid w:val="00063F55"/>
    <w:rsid w:val="00070D03"/>
    <w:rsid w:val="00073996"/>
    <w:rsid w:val="0008198A"/>
    <w:rsid w:val="00082021"/>
    <w:rsid w:val="00086EFC"/>
    <w:rsid w:val="0009093D"/>
    <w:rsid w:val="000953F1"/>
    <w:rsid w:val="00095F2C"/>
    <w:rsid w:val="00096EA8"/>
    <w:rsid w:val="000976C0"/>
    <w:rsid w:val="00097A4C"/>
    <w:rsid w:val="000A02A6"/>
    <w:rsid w:val="000A2C9E"/>
    <w:rsid w:val="000A52DF"/>
    <w:rsid w:val="000A5360"/>
    <w:rsid w:val="000B2891"/>
    <w:rsid w:val="000B36C4"/>
    <w:rsid w:val="000B7959"/>
    <w:rsid w:val="000C02A9"/>
    <w:rsid w:val="000C13DE"/>
    <w:rsid w:val="000C4842"/>
    <w:rsid w:val="000C6DA2"/>
    <w:rsid w:val="000D05AE"/>
    <w:rsid w:val="000D2945"/>
    <w:rsid w:val="000E031D"/>
    <w:rsid w:val="000F377F"/>
    <w:rsid w:val="000F4659"/>
    <w:rsid w:val="00104610"/>
    <w:rsid w:val="00104B88"/>
    <w:rsid w:val="00120B6E"/>
    <w:rsid w:val="00123D87"/>
    <w:rsid w:val="001257B8"/>
    <w:rsid w:val="00127633"/>
    <w:rsid w:val="00130515"/>
    <w:rsid w:val="0013470A"/>
    <w:rsid w:val="00137DC1"/>
    <w:rsid w:val="0014005D"/>
    <w:rsid w:val="00140300"/>
    <w:rsid w:val="00142EB0"/>
    <w:rsid w:val="00146050"/>
    <w:rsid w:val="001509DF"/>
    <w:rsid w:val="00163198"/>
    <w:rsid w:val="00165C95"/>
    <w:rsid w:val="00171E47"/>
    <w:rsid w:val="00173727"/>
    <w:rsid w:val="00177014"/>
    <w:rsid w:val="00177FB9"/>
    <w:rsid w:val="00182CEC"/>
    <w:rsid w:val="001922A6"/>
    <w:rsid w:val="00193D9A"/>
    <w:rsid w:val="001956D3"/>
    <w:rsid w:val="00195CDE"/>
    <w:rsid w:val="001A468E"/>
    <w:rsid w:val="001B1BC2"/>
    <w:rsid w:val="001B4DA9"/>
    <w:rsid w:val="001B7E6D"/>
    <w:rsid w:val="001C370A"/>
    <w:rsid w:val="001E74C3"/>
    <w:rsid w:val="001F0199"/>
    <w:rsid w:val="001F0E17"/>
    <w:rsid w:val="001F22BF"/>
    <w:rsid w:val="001F270F"/>
    <w:rsid w:val="001F6C49"/>
    <w:rsid w:val="0020410F"/>
    <w:rsid w:val="00207267"/>
    <w:rsid w:val="00222E0B"/>
    <w:rsid w:val="00230644"/>
    <w:rsid w:val="00230B69"/>
    <w:rsid w:val="00230DC6"/>
    <w:rsid w:val="0023220B"/>
    <w:rsid w:val="0023761A"/>
    <w:rsid w:val="00237B98"/>
    <w:rsid w:val="00237ED8"/>
    <w:rsid w:val="002415AE"/>
    <w:rsid w:val="002422A8"/>
    <w:rsid w:val="00252DA4"/>
    <w:rsid w:val="0026089C"/>
    <w:rsid w:val="002631EC"/>
    <w:rsid w:val="00263C9A"/>
    <w:rsid w:val="00265F59"/>
    <w:rsid w:val="0027261D"/>
    <w:rsid w:val="0027388F"/>
    <w:rsid w:val="00275D56"/>
    <w:rsid w:val="002760BD"/>
    <w:rsid w:val="00277AD4"/>
    <w:rsid w:val="00277C1A"/>
    <w:rsid w:val="002847DB"/>
    <w:rsid w:val="002913A4"/>
    <w:rsid w:val="00292927"/>
    <w:rsid w:val="00295A57"/>
    <w:rsid w:val="002B53DB"/>
    <w:rsid w:val="002C4ED3"/>
    <w:rsid w:val="002D651D"/>
    <w:rsid w:val="002E312D"/>
    <w:rsid w:val="002F07D0"/>
    <w:rsid w:val="002F34C5"/>
    <w:rsid w:val="002F6EBB"/>
    <w:rsid w:val="002F714D"/>
    <w:rsid w:val="00302401"/>
    <w:rsid w:val="00303DCE"/>
    <w:rsid w:val="00310292"/>
    <w:rsid w:val="00311913"/>
    <w:rsid w:val="00312A13"/>
    <w:rsid w:val="003132C5"/>
    <w:rsid w:val="00315DD7"/>
    <w:rsid w:val="003162AD"/>
    <w:rsid w:val="003177BD"/>
    <w:rsid w:val="00317D05"/>
    <w:rsid w:val="00320BB7"/>
    <w:rsid w:val="003220B0"/>
    <w:rsid w:val="00327CF0"/>
    <w:rsid w:val="003300F0"/>
    <w:rsid w:val="00336D18"/>
    <w:rsid w:val="003406CE"/>
    <w:rsid w:val="0035230D"/>
    <w:rsid w:val="00353954"/>
    <w:rsid w:val="00354EF4"/>
    <w:rsid w:val="00355913"/>
    <w:rsid w:val="003608E5"/>
    <w:rsid w:val="0036365B"/>
    <w:rsid w:val="00367DFB"/>
    <w:rsid w:val="00370663"/>
    <w:rsid w:val="00371CA9"/>
    <w:rsid w:val="0037265A"/>
    <w:rsid w:val="0039326B"/>
    <w:rsid w:val="003965DE"/>
    <w:rsid w:val="00396AD1"/>
    <w:rsid w:val="003A175C"/>
    <w:rsid w:val="003A2DA2"/>
    <w:rsid w:val="003A566D"/>
    <w:rsid w:val="003B1CB0"/>
    <w:rsid w:val="003B28CB"/>
    <w:rsid w:val="003C2072"/>
    <w:rsid w:val="003C3589"/>
    <w:rsid w:val="003C3D55"/>
    <w:rsid w:val="003C3D66"/>
    <w:rsid w:val="003C6AB4"/>
    <w:rsid w:val="003D1323"/>
    <w:rsid w:val="003D3645"/>
    <w:rsid w:val="003D52C2"/>
    <w:rsid w:val="003D723D"/>
    <w:rsid w:val="003D755D"/>
    <w:rsid w:val="003E2D58"/>
    <w:rsid w:val="003E5204"/>
    <w:rsid w:val="003F0733"/>
    <w:rsid w:val="003F2CE4"/>
    <w:rsid w:val="003F6A2F"/>
    <w:rsid w:val="00403B00"/>
    <w:rsid w:val="00406212"/>
    <w:rsid w:val="00412071"/>
    <w:rsid w:val="0041288D"/>
    <w:rsid w:val="0041381B"/>
    <w:rsid w:val="0041486C"/>
    <w:rsid w:val="00416101"/>
    <w:rsid w:val="00417BF3"/>
    <w:rsid w:val="0042228A"/>
    <w:rsid w:val="00423549"/>
    <w:rsid w:val="00423854"/>
    <w:rsid w:val="00424402"/>
    <w:rsid w:val="00427691"/>
    <w:rsid w:val="00427E36"/>
    <w:rsid w:val="00431060"/>
    <w:rsid w:val="0043117C"/>
    <w:rsid w:val="00435DE2"/>
    <w:rsid w:val="004376EA"/>
    <w:rsid w:val="004450F7"/>
    <w:rsid w:val="00445778"/>
    <w:rsid w:val="0044707A"/>
    <w:rsid w:val="00452BE9"/>
    <w:rsid w:val="00460274"/>
    <w:rsid w:val="0046197A"/>
    <w:rsid w:val="00462B53"/>
    <w:rsid w:val="00463872"/>
    <w:rsid w:val="004771DD"/>
    <w:rsid w:val="00486173"/>
    <w:rsid w:val="00490ACC"/>
    <w:rsid w:val="00494A24"/>
    <w:rsid w:val="004951DD"/>
    <w:rsid w:val="00497733"/>
    <w:rsid w:val="004A0ACB"/>
    <w:rsid w:val="004A0E48"/>
    <w:rsid w:val="004A362E"/>
    <w:rsid w:val="004A39AF"/>
    <w:rsid w:val="004A7E23"/>
    <w:rsid w:val="004B0952"/>
    <w:rsid w:val="004B44C0"/>
    <w:rsid w:val="004B624C"/>
    <w:rsid w:val="004C00B4"/>
    <w:rsid w:val="004C015F"/>
    <w:rsid w:val="004C075F"/>
    <w:rsid w:val="004C5E7F"/>
    <w:rsid w:val="004C793F"/>
    <w:rsid w:val="004D0798"/>
    <w:rsid w:val="004D0991"/>
    <w:rsid w:val="004D3E4E"/>
    <w:rsid w:val="004D67D7"/>
    <w:rsid w:val="004E062A"/>
    <w:rsid w:val="004E2C02"/>
    <w:rsid w:val="004E333E"/>
    <w:rsid w:val="004E6030"/>
    <w:rsid w:val="004F4E28"/>
    <w:rsid w:val="004F54F2"/>
    <w:rsid w:val="004F6E27"/>
    <w:rsid w:val="00500FEF"/>
    <w:rsid w:val="00507DDE"/>
    <w:rsid w:val="005100C4"/>
    <w:rsid w:val="005116A0"/>
    <w:rsid w:val="005164FB"/>
    <w:rsid w:val="00516B3E"/>
    <w:rsid w:val="00516B93"/>
    <w:rsid w:val="005178D2"/>
    <w:rsid w:val="00531854"/>
    <w:rsid w:val="00541671"/>
    <w:rsid w:val="00541C26"/>
    <w:rsid w:val="00543BDF"/>
    <w:rsid w:val="00552703"/>
    <w:rsid w:val="0055496E"/>
    <w:rsid w:val="00556B91"/>
    <w:rsid w:val="00560A37"/>
    <w:rsid w:val="005744D1"/>
    <w:rsid w:val="00577803"/>
    <w:rsid w:val="0058101C"/>
    <w:rsid w:val="005827E6"/>
    <w:rsid w:val="00582957"/>
    <w:rsid w:val="00582C5C"/>
    <w:rsid w:val="005860A0"/>
    <w:rsid w:val="005860B2"/>
    <w:rsid w:val="00586556"/>
    <w:rsid w:val="005A41C2"/>
    <w:rsid w:val="005A51E5"/>
    <w:rsid w:val="005A7BA3"/>
    <w:rsid w:val="005B16C8"/>
    <w:rsid w:val="005B216F"/>
    <w:rsid w:val="005B5C21"/>
    <w:rsid w:val="005B61E1"/>
    <w:rsid w:val="005B6C55"/>
    <w:rsid w:val="005B6E95"/>
    <w:rsid w:val="005C3305"/>
    <w:rsid w:val="005E0495"/>
    <w:rsid w:val="005E0E70"/>
    <w:rsid w:val="005E2592"/>
    <w:rsid w:val="005E44FF"/>
    <w:rsid w:val="005E6675"/>
    <w:rsid w:val="005E7DD4"/>
    <w:rsid w:val="005F0B80"/>
    <w:rsid w:val="005F4257"/>
    <w:rsid w:val="006006FA"/>
    <w:rsid w:val="006033AA"/>
    <w:rsid w:val="00603834"/>
    <w:rsid w:val="0060764E"/>
    <w:rsid w:val="00611C22"/>
    <w:rsid w:val="006121B6"/>
    <w:rsid w:val="00612BAD"/>
    <w:rsid w:val="00614208"/>
    <w:rsid w:val="00614556"/>
    <w:rsid w:val="00621ADF"/>
    <w:rsid w:val="00624088"/>
    <w:rsid w:val="006275CA"/>
    <w:rsid w:val="00631684"/>
    <w:rsid w:val="00632005"/>
    <w:rsid w:val="006340D6"/>
    <w:rsid w:val="00636567"/>
    <w:rsid w:val="0064191F"/>
    <w:rsid w:val="00642BB6"/>
    <w:rsid w:val="006443A2"/>
    <w:rsid w:val="00651689"/>
    <w:rsid w:val="00661F85"/>
    <w:rsid w:val="00674760"/>
    <w:rsid w:val="00676250"/>
    <w:rsid w:val="0067706E"/>
    <w:rsid w:val="00677381"/>
    <w:rsid w:val="0068248E"/>
    <w:rsid w:val="00684F09"/>
    <w:rsid w:val="006862EE"/>
    <w:rsid w:val="0068743B"/>
    <w:rsid w:val="00694081"/>
    <w:rsid w:val="00694625"/>
    <w:rsid w:val="006A177C"/>
    <w:rsid w:val="006A4C2C"/>
    <w:rsid w:val="006A758F"/>
    <w:rsid w:val="006A7D80"/>
    <w:rsid w:val="006B036D"/>
    <w:rsid w:val="006B231C"/>
    <w:rsid w:val="006B2433"/>
    <w:rsid w:val="006B7BE1"/>
    <w:rsid w:val="006B7ECD"/>
    <w:rsid w:val="006C198B"/>
    <w:rsid w:val="006D5814"/>
    <w:rsid w:val="006D76DA"/>
    <w:rsid w:val="006E3CDC"/>
    <w:rsid w:val="006E4ABD"/>
    <w:rsid w:val="006E52DC"/>
    <w:rsid w:val="00705870"/>
    <w:rsid w:val="00707F7E"/>
    <w:rsid w:val="007107F2"/>
    <w:rsid w:val="007141ED"/>
    <w:rsid w:val="007151C4"/>
    <w:rsid w:val="00715AD1"/>
    <w:rsid w:val="0071628B"/>
    <w:rsid w:val="00716B19"/>
    <w:rsid w:val="007230E4"/>
    <w:rsid w:val="0073143F"/>
    <w:rsid w:val="00733108"/>
    <w:rsid w:val="0074104A"/>
    <w:rsid w:val="0074346A"/>
    <w:rsid w:val="00753A6C"/>
    <w:rsid w:val="00753EF4"/>
    <w:rsid w:val="0076040E"/>
    <w:rsid w:val="007638E4"/>
    <w:rsid w:val="007667F4"/>
    <w:rsid w:val="00767656"/>
    <w:rsid w:val="007732AB"/>
    <w:rsid w:val="00776446"/>
    <w:rsid w:val="0077792D"/>
    <w:rsid w:val="0078138F"/>
    <w:rsid w:val="007813E5"/>
    <w:rsid w:val="00781D09"/>
    <w:rsid w:val="00783381"/>
    <w:rsid w:val="00783A46"/>
    <w:rsid w:val="00784685"/>
    <w:rsid w:val="0078608E"/>
    <w:rsid w:val="00792BD4"/>
    <w:rsid w:val="0079487F"/>
    <w:rsid w:val="007A15E8"/>
    <w:rsid w:val="007A1D0B"/>
    <w:rsid w:val="007A7A8B"/>
    <w:rsid w:val="007B1DCB"/>
    <w:rsid w:val="007B40E3"/>
    <w:rsid w:val="007B7FC7"/>
    <w:rsid w:val="007C313D"/>
    <w:rsid w:val="007C6C0A"/>
    <w:rsid w:val="007D3977"/>
    <w:rsid w:val="007D524A"/>
    <w:rsid w:val="007D6C35"/>
    <w:rsid w:val="007E0ECC"/>
    <w:rsid w:val="007E5933"/>
    <w:rsid w:val="007F2607"/>
    <w:rsid w:val="007F3ECD"/>
    <w:rsid w:val="00803274"/>
    <w:rsid w:val="008037DB"/>
    <w:rsid w:val="008047F1"/>
    <w:rsid w:val="00806785"/>
    <w:rsid w:val="00807939"/>
    <w:rsid w:val="00807A4F"/>
    <w:rsid w:val="00810950"/>
    <w:rsid w:val="0081173E"/>
    <w:rsid w:val="0081303A"/>
    <w:rsid w:val="00813316"/>
    <w:rsid w:val="00820C69"/>
    <w:rsid w:val="00826928"/>
    <w:rsid w:val="0083258B"/>
    <w:rsid w:val="0083765E"/>
    <w:rsid w:val="00840F60"/>
    <w:rsid w:val="00847A13"/>
    <w:rsid w:val="00854803"/>
    <w:rsid w:val="00855B17"/>
    <w:rsid w:val="00864841"/>
    <w:rsid w:val="008655CA"/>
    <w:rsid w:val="0086613A"/>
    <w:rsid w:val="00871615"/>
    <w:rsid w:val="00876760"/>
    <w:rsid w:val="0087797A"/>
    <w:rsid w:val="00877ECB"/>
    <w:rsid w:val="00882136"/>
    <w:rsid w:val="00885AC8"/>
    <w:rsid w:val="00895756"/>
    <w:rsid w:val="00896494"/>
    <w:rsid w:val="0089706B"/>
    <w:rsid w:val="008A17CF"/>
    <w:rsid w:val="008A2AC3"/>
    <w:rsid w:val="008A2B49"/>
    <w:rsid w:val="008A412F"/>
    <w:rsid w:val="008A43BC"/>
    <w:rsid w:val="008A5194"/>
    <w:rsid w:val="008A559F"/>
    <w:rsid w:val="008A79B4"/>
    <w:rsid w:val="008B2E95"/>
    <w:rsid w:val="008B2F5C"/>
    <w:rsid w:val="008B3A12"/>
    <w:rsid w:val="008B4570"/>
    <w:rsid w:val="008B7C7D"/>
    <w:rsid w:val="008B7D4C"/>
    <w:rsid w:val="008D382C"/>
    <w:rsid w:val="008D47B8"/>
    <w:rsid w:val="008E353B"/>
    <w:rsid w:val="008E3CB6"/>
    <w:rsid w:val="008F05DB"/>
    <w:rsid w:val="008F2981"/>
    <w:rsid w:val="008F76DA"/>
    <w:rsid w:val="009018E7"/>
    <w:rsid w:val="00903B68"/>
    <w:rsid w:val="00904049"/>
    <w:rsid w:val="009070AC"/>
    <w:rsid w:val="0091027A"/>
    <w:rsid w:val="00912278"/>
    <w:rsid w:val="00914AB2"/>
    <w:rsid w:val="00916198"/>
    <w:rsid w:val="00916CB8"/>
    <w:rsid w:val="00916D12"/>
    <w:rsid w:val="00920FEF"/>
    <w:rsid w:val="009236E4"/>
    <w:rsid w:val="0092512C"/>
    <w:rsid w:val="00930D59"/>
    <w:rsid w:val="00931176"/>
    <w:rsid w:val="00931480"/>
    <w:rsid w:val="0093309E"/>
    <w:rsid w:val="009333C2"/>
    <w:rsid w:val="009353A3"/>
    <w:rsid w:val="00940FC6"/>
    <w:rsid w:val="0094158C"/>
    <w:rsid w:val="00943661"/>
    <w:rsid w:val="009469AF"/>
    <w:rsid w:val="00947C3B"/>
    <w:rsid w:val="00952583"/>
    <w:rsid w:val="009541EC"/>
    <w:rsid w:val="0095431F"/>
    <w:rsid w:val="00961ADD"/>
    <w:rsid w:val="00962369"/>
    <w:rsid w:val="0096344B"/>
    <w:rsid w:val="00963623"/>
    <w:rsid w:val="00967C64"/>
    <w:rsid w:val="00980060"/>
    <w:rsid w:val="00980649"/>
    <w:rsid w:val="0098240F"/>
    <w:rsid w:val="00987D1B"/>
    <w:rsid w:val="00992D12"/>
    <w:rsid w:val="009935FB"/>
    <w:rsid w:val="00995792"/>
    <w:rsid w:val="0099582D"/>
    <w:rsid w:val="009963A3"/>
    <w:rsid w:val="009A17C1"/>
    <w:rsid w:val="009A1D91"/>
    <w:rsid w:val="009A79F5"/>
    <w:rsid w:val="009B096E"/>
    <w:rsid w:val="009B6D27"/>
    <w:rsid w:val="009C6702"/>
    <w:rsid w:val="009D2AD4"/>
    <w:rsid w:val="009D392E"/>
    <w:rsid w:val="009D73B6"/>
    <w:rsid w:val="009E1027"/>
    <w:rsid w:val="009E39CA"/>
    <w:rsid w:val="009E3DFA"/>
    <w:rsid w:val="009E7F78"/>
    <w:rsid w:val="009F30FE"/>
    <w:rsid w:val="009F60A5"/>
    <w:rsid w:val="009F79D8"/>
    <w:rsid w:val="00A0046A"/>
    <w:rsid w:val="00A04851"/>
    <w:rsid w:val="00A052EC"/>
    <w:rsid w:val="00A06288"/>
    <w:rsid w:val="00A06C39"/>
    <w:rsid w:val="00A21A6B"/>
    <w:rsid w:val="00A27F95"/>
    <w:rsid w:val="00A30289"/>
    <w:rsid w:val="00A33E41"/>
    <w:rsid w:val="00A34166"/>
    <w:rsid w:val="00A365BF"/>
    <w:rsid w:val="00A377D5"/>
    <w:rsid w:val="00A40E97"/>
    <w:rsid w:val="00A41C35"/>
    <w:rsid w:val="00A511B6"/>
    <w:rsid w:val="00A5423C"/>
    <w:rsid w:val="00A5532E"/>
    <w:rsid w:val="00A55468"/>
    <w:rsid w:val="00A6196A"/>
    <w:rsid w:val="00A64370"/>
    <w:rsid w:val="00A66F48"/>
    <w:rsid w:val="00A67BF7"/>
    <w:rsid w:val="00A72031"/>
    <w:rsid w:val="00A73336"/>
    <w:rsid w:val="00A82787"/>
    <w:rsid w:val="00A86A42"/>
    <w:rsid w:val="00A9200B"/>
    <w:rsid w:val="00AA1A33"/>
    <w:rsid w:val="00AA2CFE"/>
    <w:rsid w:val="00AA3021"/>
    <w:rsid w:val="00AA5FF9"/>
    <w:rsid w:val="00AB1E10"/>
    <w:rsid w:val="00AB3774"/>
    <w:rsid w:val="00AB58EC"/>
    <w:rsid w:val="00AC0C5D"/>
    <w:rsid w:val="00AC1824"/>
    <w:rsid w:val="00AC1929"/>
    <w:rsid w:val="00AC4193"/>
    <w:rsid w:val="00AC6F96"/>
    <w:rsid w:val="00AD4DA9"/>
    <w:rsid w:val="00AD54E9"/>
    <w:rsid w:val="00AD7511"/>
    <w:rsid w:val="00AD775A"/>
    <w:rsid w:val="00AE046D"/>
    <w:rsid w:val="00AE5848"/>
    <w:rsid w:val="00AE64B4"/>
    <w:rsid w:val="00AF58B9"/>
    <w:rsid w:val="00AF7F57"/>
    <w:rsid w:val="00B056E1"/>
    <w:rsid w:val="00B06F28"/>
    <w:rsid w:val="00B070A1"/>
    <w:rsid w:val="00B10609"/>
    <w:rsid w:val="00B1152A"/>
    <w:rsid w:val="00B11B29"/>
    <w:rsid w:val="00B1630B"/>
    <w:rsid w:val="00B35E3C"/>
    <w:rsid w:val="00B41700"/>
    <w:rsid w:val="00B4194B"/>
    <w:rsid w:val="00B41AA1"/>
    <w:rsid w:val="00B4381A"/>
    <w:rsid w:val="00B4423C"/>
    <w:rsid w:val="00B472CC"/>
    <w:rsid w:val="00B477B3"/>
    <w:rsid w:val="00B51650"/>
    <w:rsid w:val="00B56C4D"/>
    <w:rsid w:val="00B616A0"/>
    <w:rsid w:val="00B630CB"/>
    <w:rsid w:val="00B63F6B"/>
    <w:rsid w:val="00B641BC"/>
    <w:rsid w:val="00B65819"/>
    <w:rsid w:val="00B6788A"/>
    <w:rsid w:val="00B80181"/>
    <w:rsid w:val="00B83956"/>
    <w:rsid w:val="00B852D4"/>
    <w:rsid w:val="00B94A59"/>
    <w:rsid w:val="00B9592F"/>
    <w:rsid w:val="00BA1BE9"/>
    <w:rsid w:val="00BA58C0"/>
    <w:rsid w:val="00BA7F0A"/>
    <w:rsid w:val="00BB752D"/>
    <w:rsid w:val="00BC08E2"/>
    <w:rsid w:val="00BC300B"/>
    <w:rsid w:val="00BC3B93"/>
    <w:rsid w:val="00BC4149"/>
    <w:rsid w:val="00BC432F"/>
    <w:rsid w:val="00BD3614"/>
    <w:rsid w:val="00BD4EDC"/>
    <w:rsid w:val="00BE2C01"/>
    <w:rsid w:val="00BE368A"/>
    <w:rsid w:val="00BE5DE1"/>
    <w:rsid w:val="00BF5296"/>
    <w:rsid w:val="00BF549D"/>
    <w:rsid w:val="00BF6233"/>
    <w:rsid w:val="00BF7E1D"/>
    <w:rsid w:val="00C01135"/>
    <w:rsid w:val="00C034BF"/>
    <w:rsid w:val="00C11C84"/>
    <w:rsid w:val="00C12F23"/>
    <w:rsid w:val="00C1390A"/>
    <w:rsid w:val="00C1458F"/>
    <w:rsid w:val="00C15063"/>
    <w:rsid w:val="00C22CC8"/>
    <w:rsid w:val="00C32A37"/>
    <w:rsid w:val="00C32ADB"/>
    <w:rsid w:val="00C42AA5"/>
    <w:rsid w:val="00C4625C"/>
    <w:rsid w:val="00C57438"/>
    <w:rsid w:val="00C60B4C"/>
    <w:rsid w:val="00C642CD"/>
    <w:rsid w:val="00C67857"/>
    <w:rsid w:val="00C810CA"/>
    <w:rsid w:val="00C85A4C"/>
    <w:rsid w:val="00C85DFD"/>
    <w:rsid w:val="00C95E23"/>
    <w:rsid w:val="00C96D74"/>
    <w:rsid w:val="00CA39F1"/>
    <w:rsid w:val="00CA3AE0"/>
    <w:rsid w:val="00CA4361"/>
    <w:rsid w:val="00CA6924"/>
    <w:rsid w:val="00CB1089"/>
    <w:rsid w:val="00CB540B"/>
    <w:rsid w:val="00CC10D9"/>
    <w:rsid w:val="00CC2C0D"/>
    <w:rsid w:val="00CC315B"/>
    <w:rsid w:val="00CC40A0"/>
    <w:rsid w:val="00CC75CB"/>
    <w:rsid w:val="00CD274A"/>
    <w:rsid w:val="00CE08A5"/>
    <w:rsid w:val="00CE2F69"/>
    <w:rsid w:val="00CE35C3"/>
    <w:rsid w:val="00CE3A46"/>
    <w:rsid w:val="00CE4144"/>
    <w:rsid w:val="00CF0B3E"/>
    <w:rsid w:val="00CF1483"/>
    <w:rsid w:val="00CF3DD6"/>
    <w:rsid w:val="00CF4A25"/>
    <w:rsid w:val="00CF69A9"/>
    <w:rsid w:val="00D001BC"/>
    <w:rsid w:val="00D02BE6"/>
    <w:rsid w:val="00D02E7E"/>
    <w:rsid w:val="00D0339C"/>
    <w:rsid w:val="00D079DF"/>
    <w:rsid w:val="00D10252"/>
    <w:rsid w:val="00D10DA0"/>
    <w:rsid w:val="00D23936"/>
    <w:rsid w:val="00D2783E"/>
    <w:rsid w:val="00D27E86"/>
    <w:rsid w:val="00D363FB"/>
    <w:rsid w:val="00D40251"/>
    <w:rsid w:val="00D46055"/>
    <w:rsid w:val="00D47FC8"/>
    <w:rsid w:val="00D50B02"/>
    <w:rsid w:val="00D53714"/>
    <w:rsid w:val="00D6262B"/>
    <w:rsid w:val="00D62955"/>
    <w:rsid w:val="00D62E9A"/>
    <w:rsid w:val="00D64F33"/>
    <w:rsid w:val="00D65409"/>
    <w:rsid w:val="00D65A9E"/>
    <w:rsid w:val="00D65B35"/>
    <w:rsid w:val="00D66527"/>
    <w:rsid w:val="00D778EC"/>
    <w:rsid w:val="00D87158"/>
    <w:rsid w:val="00D87D57"/>
    <w:rsid w:val="00D93E2B"/>
    <w:rsid w:val="00D9520A"/>
    <w:rsid w:val="00D977EB"/>
    <w:rsid w:val="00DA2B41"/>
    <w:rsid w:val="00DA7BBB"/>
    <w:rsid w:val="00DB3090"/>
    <w:rsid w:val="00DB4D34"/>
    <w:rsid w:val="00DB55F6"/>
    <w:rsid w:val="00DB58E5"/>
    <w:rsid w:val="00DB686F"/>
    <w:rsid w:val="00DB6881"/>
    <w:rsid w:val="00DC0ED6"/>
    <w:rsid w:val="00DC289C"/>
    <w:rsid w:val="00DC2964"/>
    <w:rsid w:val="00DC5DC5"/>
    <w:rsid w:val="00DC7A9C"/>
    <w:rsid w:val="00DD4800"/>
    <w:rsid w:val="00DD5A54"/>
    <w:rsid w:val="00DE2736"/>
    <w:rsid w:val="00DE66D8"/>
    <w:rsid w:val="00DF4B66"/>
    <w:rsid w:val="00E02CAF"/>
    <w:rsid w:val="00E05E3C"/>
    <w:rsid w:val="00E105B5"/>
    <w:rsid w:val="00E10F3A"/>
    <w:rsid w:val="00E113BD"/>
    <w:rsid w:val="00E1571A"/>
    <w:rsid w:val="00E244C5"/>
    <w:rsid w:val="00E26023"/>
    <w:rsid w:val="00E31A79"/>
    <w:rsid w:val="00E3771E"/>
    <w:rsid w:val="00E42D25"/>
    <w:rsid w:val="00E44285"/>
    <w:rsid w:val="00E45421"/>
    <w:rsid w:val="00E54395"/>
    <w:rsid w:val="00E61092"/>
    <w:rsid w:val="00E63190"/>
    <w:rsid w:val="00E63699"/>
    <w:rsid w:val="00E64712"/>
    <w:rsid w:val="00E70BE4"/>
    <w:rsid w:val="00E80F64"/>
    <w:rsid w:val="00E82307"/>
    <w:rsid w:val="00E8468A"/>
    <w:rsid w:val="00E86270"/>
    <w:rsid w:val="00E90A0A"/>
    <w:rsid w:val="00E918F0"/>
    <w:rsid w:val="00E9227F"/>
    <w:rsid w:val="00E92A3A"/>
    <w:rsid w:val="00EB1CD4"/>
    <w:rsid w:val="00EB26AF"/>
    <w:rsid w:val="00EB67E7"/>
    <w:rsid w:val="00EB6E03"/>
    <w:rsid w:val="00EC1317"/>
    <w:rsid w:val="00EC2D9E"/>
    <w:rsid w:val="00EC5CA0"/>
    <w:rsid w:val="00ED16B5"/>
    <w:rsid w:val="00ED205F"/>
    <w:rsid w:val="00ED5F8B"/>
    <w:rsid w:val="00EE02F5"/>
    <w:rsid w:val="00EE040C"/>
    <w:rsid w:val="00EE2BA4"/>
    <w:rsid w:val="00EE3310"/>
    <w:rsid w:val="00EE39A6"/>
    <w:rsid w:val="00EE5655"/>
    <w:rsid w:val="00EE7004"/>
    <w:rsid w:val="00EF3C09"/>
    <w:rsid w:val="00EF49CE"/>
    <w:rsid w:val="00F00822"/>
    <w:rsid w:val="00F06037"/>
    <w:rsid w:val="00F063B6"/>
    <w:rsid w:val="00F07454"/>
    <w:rsid w:val="00F10069"/>
    <w:rsid w:val="00F1214D"/>
    <w:rsid w:val="00F144CA"/>
    <w:rsid w:val="00F14C59"/>
    <w:rsid w:val="00F153BC"/>
    <w:rsid w:val="00F174DB"/>
    <w:rsid w:val="00F176E6"/>
    <w:rsid w:val="00F208F2"/>
    <w:rsid w:val="00F20EA4"/>
    <w:rsid w:val="00F21A63"/>
    <w:rsid w:val="00F24C06"/>
    <w:rsid w:val="00F26158"/>
    <w:rsid w:val="00F27754"/>
    <w:rsid w:val="00F323B2"/>
    <w:rsid w:val="00F36ECE"/>
    <w:rsid w:val="00F37546"/>
    <w:rsid w:val="00F5249F"/>
    <w:rsid w:val="00F5605C"/>
    <w:rsid w:val="00F60726"/>
    <w:rsid w:val="00F6535C"/>
    <w:rsid w:val="00F70919"/>
    <w:rsid w:val="00F728FF"/>
    <w:rsid w:val="00F73E72"/>
    <w:rsid w:val="00F76839"/>
    <w:rsid w:val="00F7740F"/>
    <w:rsid w:val="00F83581"/>
    <w:rsid w:val="00F918A2"/>
    <w:rsid w:val="00F94442"/>
    <w:rsid w:val="00F961A2"/>
    <w:rsid w:val="00F96946"/>
    <w:rsid w:val="00F97BD5"/>
    <w:rsid w:val="00FA0714"/>
    <w:rsid w:val="00FC07B7"/>
    <w:rsid w:val="00FC2B2A"/>
    <w:rsid w:val="00FC6390"/>
    <w:rsid w:val="00FD021C"/>
    <w:rsid w:val="00FD3BF5"/>
    <w:rsid w:val="00FD434A"/>
    <w:rsid w:val="00FD4690"/>
    <w:rsid w:val="00FD75B6"/>
    <w:rsid w:val="00FE0F88"/>
    <w:rsid w:val="00FE58BC"/>
    <w:rsid w:val="00FE7066"/>
    <w:rsid w:val="00FF198A"/>
    <w:rsid w:val="00FF2F0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E3B418"/>
  <w15:docId w15:val="{34A5F5B9-51EB-4ECF-A868-342B27943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98B"/>
    <w:rPr>
      <w:color w:val="000000"/>
      <w:sz w:val="24"/>
      <w:szCs w:val="24"/>
    </w:rPr>
  </w:style>
  <w:style w:type="paragraph" w:styleId="Heading1">
    <w:name w:val="heading 1"/>
    <w:basedOn w:val="Normal"/>
    <w:next w:val="Normal"/>
    <w:qFormat/>
    <w:rsid w:val="00BA1BE9"/>
    <w:pPr>
      <w:keepNext/>
      <w:spacing w:before="240" w:after="60"/>
      <w:outlineLvl w:val="0"/>
    </w:pPr>
    <w:rPr>
      <w:rFonts w:ascii="Arial" w:hAnsi="Arial"/>
      <w:b/>
      <w:bCs/>
      <w:kern w:val="32"/>
      <w:sz w:val="32"/>
      <w:szCs w:val="32"/>
    </w:rPr>
  </w:style>
  <w:style w:type="paragraph" w:styleId="Heading2">
    <w:name w:val="heading 2"/>
    <w:basedOn w:val="Normal"/>
    <w:next w:val="Normal"/>
    <w:qFormat/>
    <w:rsid w:val="008F2981"/>
    <w:pPr>
      <w:keepNext/>
      <w:autoSpaceDE w:val="0"/>
      <w:autoSpaceDN w:val="0"/>
      <w:spacing w:before="120" w:after="60"/>
      <w:ind w:left="144"/>
      <w:outlineLvl w:val="1"/>
    </w:pPr>
    <w:rPr>
      <w:i/>
      <w:iCs/>
      <w:sz w:val="20"/>
      <w:szCs w:val="20"/>
    </w:rPr>
  </w:style>
  <w:style w:type="paragraph" w:styleId="Heading3">
    <w:name w:val="heading 3"/>
    <w:basedOn w:val="Normal"/>
    <w:next w:val="Normal"/>
    <w:qFormat/>
    <w:rsid w:val="008F2981"/>
    <w:pPr>
      <w:keepNext/>
      <w:autoSpaceDE w:val="0"/>
      <w:autoSpaceDN w:val="0"/>
      <w:ind w:left="288"/>
      <w:outlineLvl w:val="2"/>
    </w:pPr>
    <w:rPr>
      <w:i/>
      <w:iCs/>
      <w:sz w:val="20"/>
      <w:szCs w:val="20"/>
    </w:rPr>
  </w:style>
  <w:style w:type="paragraph" w:styleId="Heading4">
    <w:name w:val="heading 4"/>
    <w:basedOn w:val="Normal"/>
    <w:next w:val="Normal"/>
    <w:qFormat/>
    <w:rsid w:val="008F2981"/>
    <w:pPr>
      <w:keepNext/>
      <w:autoSpaceDE w:val="0"/>
      <w:autoSpaceDN w:val="0"/>
      <w:spacing w:before="240" w:after="60"/>
      <w:ind w:left="1152" w:hanging="720"/>
      <w:outlineLvl w:val="3"/>
    </w:pPr>
    <w:rPr>
      <w:i/>
      <w:iCs/>
      <w:sz w:val="18"/>
      <w:szCs w:val="18"/>
    </w:rPr>
  </w:style>
  <w:style w:type="paragraph" w:styleId="Heading5">
    <w:name w:val="heading 5"/>
    <w:basedOn w:val="Normal"/>
    <w:next w:val="Normal"/>
    <w:qFormat/>
    <w:rsid w:val="008F2981"/>
    <w:pPr>
      <w:autoSpaceDE w:val="0"/>
      <w:autoSpaceDN w:val="0"/>
      <w:spacing w:before="240" w:after="60"/>
      <w:ind w:left="1872" w:hanging="720"/>
      <w:outlineLvl w:val="4"/>
    </w:pPr>
    <w:rPr>
      <w:sz w:val="18"/>
      <w:szCs w:val="18"/>
    </w:rPr>
  </w:style>
  <w:style w:type="paragraph" w:styleId="Heading6">
    <w:name w:val="heading 6"/>
    <w:basedOn w:val="Normal"/>
    <w:next w:val="Normal"/>
    <w:qFormat/>
    <w:rsid w:val="008F2981"/>
    <w:pPr>
      <w:autoSpaceDE w:val="0"/>
      <w:autoSpaceDN w:val="0"/>
      <w:spacing w:before="240" w:after="60"/>
      <w:ind w:left="2592" w:hanging="720"/>
      <w:outlineLvl w:val="5"/>
    </w:pPr>
    <w:rPr>
      <w:i/>
      <w:iCs/>
      <w:sz w:val="16"/>
      <w:szCs w:val="16"/>
    </w:rPr>
  </w:style>
  <w:style w:type="paragraph" w:styleId="Heading7">
    <w:name w:val="heading 7"/>
    <w:basedOn w:val="Normal"/>
    <w:next w:val="Normal"/>
    <w:qFormat/>
    <w:rsid w:val="008F2981"/>
    <w:pPr>
      <w:autoSpaceDE w:val="0"/>
      <w:autoSpaceDN w:val="0"/>
      <w:spacing w:before="240" w:after="60"/>
      <w:ind w:left="3312" w:hanging="720"/>
      <w:outlineLvl w:val="6"/>
    </w:pPr>
    <w:rPr>
      <w:sz w:val="16"/>
      <w:szCs w:val="16"/>
    </w:rPr>
  </w:style>
  <w:style w:type="paragraph" w:styleId="Heading8">
    <w:name w:val="heading 8"/>
    <w:basedOn w:val="Normal"/>
    <w:next w:val="Normal"/>
    <w:qFormat/>
    <w:rsid w:val="008F2981"/>
    <w:pPr>
      <w:autoSpaceDE w:val="0"/>
      <w:autoSpaceDN w:val="0"/>
      <w:spacing w:before="240" w:after="60"/>
      <w:ind w:left="4032" w:hanging="720"/>
      <w:outlineLvl w:val="7"/>
    </w:pPr>
    <w:rPr>
      <w:i/>
      <w:iCs/>
      <w:sz w:val="16"/>
      <w:szCs w:val="16"/>
    </w:rPr>
  </w:style>
  <w:style w:type="paragraph" w:styleId="Heading9">
    <w:name w:val="heading 9"/>
    <w:basedOn w:val="Normal"/>
    <w:next w:val="Normal"/>
    <w:qFormat/>
    <w:rsid w:val="008F2981"/>
    <w:pPr>
      <w:autoSpaceDE w:val="0"/>
      <w:autoSpaceDN w:val="0"/>
      <w:spacing w:before="240" w:after="60"/>
      <w:ind w:left="4752" w:hanging="72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99582D"/>
    <w:pPr>
      <w:spacing w:after="240"/>
      <w:jc w:val="both"/>
    </w:pPr>
    <w:rPr>
      <w:lang w:eastAsia="en-GB" w:bidi="ar-AE"/>
    </w:rPr>
  </w:style>
  <w:style w:type="character" w:customStyle="1" w:styleId="BodyTextChar">
    <w:name w:val="Body Text Char"/>
    <w:link w:val="BodyText"/>
    <w:rsid w:val="0099582D"/>
    <w:rPr>
      <w:sz w:val="24"/>
      <w:szCs w:val="24"/>
      <w:lang w:val="en-US" w:eastAsia="en-GB" w:bidi="ar-AE"/>
    </w:rPr>
  </w:style>
  <w:style w:type="paragraph" w:styleId="Header">
    <w:name w:val="header"/>
    <w:link w:val="HeaderChar"/>
    <w:qFormat/>
    <w:rsid w:val="0099582D"/>
    <w:pPr>
      <w:jc w:val="both"/>
    </w:pPr>
    <w:rPr>
      <w:sz w:val="24"/>
      <w:szCs w:val="24"/>
      <w:lang w:val="en-GB" w:eastAsia="zh-CN" w:bidi="he-IL"/>
    </w:rPr>
  </w:style>
  <w:style w:type="character" w:customStyle="1" w:styleId="HeaderChar">
    <w:name w:val="Header Char"/>
    <w:link w:val="Header"/>
    <w:rsid w:val="0099582D"/>
    <w:rPr>
      <w:sz w:val="24"/>
      <w:szCs w:val="24"/>
      <w:lang w:val="en-GB" w:eastAsia="zh-CN" w:bidi="he-IL"/>
    </w:rPr>
  </w:style>
  <w:style w:type="paragraph" w:styleId="Footer">
    <w:name w:val="footer"/>
    <w:basedOn w:val="Normal"/>
    <w:rsid w:val="0092512C"/>
    <w:pPr>
      <w:tabs>
        <w:tab w:val="center" w:pos="4320"/>
        <w:tab w:val="right" w:pos="8640"/>
      </w:tabs>
    </w:pPr>
  </w:style>
  <w:style w:type="character" w:styleId="PageNumber">
    <w:name w:val="page number"/>
    <w:basedOn w:val="DefaultParagraphFont"/>
    <w:rsid w:val="0092512C"/>
  </w:style>
  <w:style w:type="character" w:styleId="Hyperlink">
    <w:name w:val="Hyperlink"/>
    <w:rsid w:val="00AB1E10"/>
    <w:rPr>
      <w:color w:val="0000FF"/>
      <w:u w:val="single"/>
    </w:rPr>
  </w:style>
  <w:style w:type="paragraph" w:customStyle="1" w:styleId="Title20pt">
    <w:name w:val="Title + 20 pt"/>
    <w:basedOn w:val="Normal"/>
    <w:rsid w:val="00D46055"/>
    <w:pPr>
      <w:jc w:val="center"/>
    </w:pPr>
    <w:rPr>
      <w:sz w:val="40"/>
      <w:szCs w:val="40"/>
    </w:rPr>
  </w:style>
  <w:style w:type="paragraph" w:customStyle="1" w:styleId="References0">
    <w:name w:val="References"/>
    <w:basedOn w:val="Normal"/>
    <w:rsid w:val="00BA1BE9"/>
    <w:pPr>
      <w:autoSpaceDE w:val="0"/>
      <w:autoSpaceDN w:val="0"/>
      <w:jc w:val="both"/>
    </w:pPr>
    <w:rPr>
      <w:sz w:val="16"/>
      <w:szCs w:val="16"/>
    </w:rPr>
  </w:style>
  <w:style w:type="paragraph" w:customStyle="1" w:styleId="Text">
    <w:name w:val="Text"/>
    <w:basedOn w:val="Normal"/>
    <w:rsid w:val="00BA1BE9"/>
    <w:pPr>
      <w:widowControl w:val="0"/>
      <w:autoSpaceDE w:val="0"/>
      <w:autoSpaceDN w:val="0"/>
      <w:spacing w:line="252" w:lineRule="auto"/>
      <w:ind w:firstLine="202"/>
      <w:jc w:val="both"/>
    </w:pPr>
    <w:rPr>
      <w:sz w:val="20"/>
      <w:szCs w:val="20"/>
    </w:rPr>
  </w:style>
  <w:style w:type="paragraph" w:customStyle="1" w:styleId="ReferenceHead">
    <w:name w:val="Reference Head"/>
    <w:basedOn w:val="Heading1"/>
    <w:rsid w:val="00BA1BE9"/>
    <w:pPr>
      <w:autoSpaceDE w:val="0"/>
      <w:autoSpaceDN w:val="0"/>
      <w:spacing w:after="80"/>
      <w:jc w:val="center"/>
    </w:pPr>
    <w:rPr>
      <w:rFonts w:ascii="Times New Roman" w:hAnsi="Times New Roman"/>
      <w:b w:val="0"/>
      <w:bCs w:val="0"/>
      <w:smallCaps/>
      <w:kern w:val="28"/>
      <w:sz w:val="20"/>
      <w:szCs w:val="20"/>
    </w:rPr>
  </w:style>
  <w:style w:type="paragraph" w:customStyle="1" w:styleId="references">
    <w:name w:val="references"/>
    <w:rsid w:val="006D5814"/>
    <w:pPr>
      <w:numPr>
        <w:numId w:val="9"/>
      </w:numPr>
      <w:spacing w:after="50" w:line="180" w:lineRule="exact"/>
      <w:jc w:val="both"/>
    </w:pPr>
    <w:rPr>
      <w:rFonts w:eastAsia="MS Mincho"/>
      <w:noProof/>
      <w:sz w:val="16"/>
      <w:szCs w:val="16"/>
    </w:rPr>
  </w:style>
  <w:style w:type="character" w:customStyle="1" w:styleId="Char">
    <w:name w:val="Char"/>
    <w:rsid w:val="00490ACC"/>
    <w:rPr>
      <w:sz w:val="24"/>
      <w:szCs w:val="24"/>
      <w:lang w:val="en-GB" w:eastAsia="zh-CN" w:bidi="he-IL"/>
    </w:rPr>
  </w:style>
  <w:style w:type="character" w:styleId="FollowedHyperlink">
    <w:name w:val="FollowedHyperlink"/>
    <w:uiPriority w:val="99"/>
    <w:semiHidden/>
    <w:unhideWhenUsed/>
    <w:rsid w:val="003E5204"/>
    <w:rPr>
      <w:color w:val="800080"/>
      <w:u w:val="single"/>
    </w:rPr>
  </w:style>
  <w:style w:type="character" w:styleId="UnresolvedMention">
    <w:name w:val="Unresolved Mention"/>
    <w:basedOn w:val="DefaultParagraphFont"/>
    <w:uiPriority w:val="99"/>
    <w:semiHidden/>
    <w:unhideWhenUsed/>
    <w:rsid w:val="006A7D80"/>
    <w:rPr>
      <w:color w:val="605E5C"/>
      <w:shd w:val="clear" w:color="auto" w:fill="E1DFDD"/>
    </w:rPr>
  </w:style>
  <w:style w:type="paragraph" w:customStyle="1" w:styleId="Title1">
    <w:name w:val="Title1"/>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093525">
      <w:bodyDiv w:val="1"/>
      <w:marLeft w:val="0"/>
      <w:marRight w:val="0"/>
      <w:marTop w:val="0"/>
      <w:marBottom w:val="0"/>
      <w:divBdr>
        <w:top w:val="none" w:sz="0" w:space="0" w:color="auto"/>
        <w:left w:val="none" w:sz="0" w:space="0" w:color="auto"/>
        <w:bottom w:val="none" w:sz="0" w:space="0" w:color="auto"/>
        <w:right w:val="none" w:sz="0" w:space="0" w:color="auto"/>
      </w:divBdr>
    </w:div>
    <w:div w:id="152400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4ba9367-eb51-4860-91fd-089945178738}" enabled="1" method="Privilege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8</Pages>
  <Words>5311</Words>
  <Characters>30277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International Journal of Scientific and Research Publications, Volume 15, Issue 12, December 2025</vt:lpstr>
    </vt:vector>
  </TitlesOfParts>
  <Manager>www.ijsrp.org</Manager>
  <Company>IJSRP Inc.</Company>
  <LinksUpToDate>false</LinksUpToDate>
  <CharactersWithSpaces>35517</CharactersWithSpaces>
  <SharedDoc>false</SharedDoc>
  <HyperlinkBase>www.ijsrp.org</HyperlinkBase>
  <HLinks>
    <vt:vector size="12" baseType="variant">
      <vt:variant>
        <vt:i4>4128802</vt:i4>
      </vt:variant>
      <vt:variant>
        <vt:i4>3</vt:i4>
      </vt:variant>
      <vt:variant>
        <vt:i4>0</vt:i4>
      </vt:variant>
      <vt:variant>
        <vt:i4>5</vt:i4>
      </vt:variant>
      <vt:variant>
        <vt:lpwstr>http://ijsrp.org/online-publication-charge.html</vt:lpwstr>
      </vt:variant>
      <vt:variant>
        <vt:lpwstr/>
      </vt:variant>
      <vt:variant>
        <vt:i4>327725</vt:i4>
      </vt:variant>
      <vt:variant>
        <vt:i4>0</vt:i4>
      </vt:variant>
      <vt:variant>
        <vt:i4>0</vt:i4>
      </vt:variant>
      <vt:variant>
        <vt:i4>5</vt:i4>
      </vt:variant>
      <vt:variant>
        <vt:lpwstr>mailto:editor@ijsrp.org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AI for Cybersecurity Interpreting Machine Learning Decisions in Intrusion Detection Systems</dc:title>
  <dc:subject>AI Applications in Cyber Security research paper</dc:subject>
  <dc:creator>Rajat Kumar;Sadhil Madan</dc:creator>
  <cp:keywords>explainable artificial intelligence, intrusion detection, SHAP, LIME, UNSW-NB15</cp:keywords>
  <dc:description>Completed course research paper with reproducible UNSW-NB15 experiments and explainability analysis.</dc:description>
  <cp:lastModifiedBy>Rajat Kumar</cp:lastModifiedBy>
  <cp:revision>5</cp:revision>
  <cp:lastPrinted>2026-01-06T11:46:00Z</cp:lastPrinted>
  <dcterms:created xsi:type="dcterms:W3CDTF">2026-09-28T14:47:00Z</dcterms:created>
  <dcterms:modified xsi:type="dcterms:W3CDTF">2026-09-29T02:55:00Z</dcterms:modified>
  <cp:category>IJSRP Research Journal</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www.ijsrp.org</vt:lpwstr>
  </property>
</Properties>
</file>