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B6CB0"/>
          <w:sz w:val="18"/>
        </w:rPr>
        <w:t>ABC ENTERPRISE • CORPORATE TRAVEL &amp; EXPENSE POLICY</w:t>
      </w:r>
    </w:p>
    <w:p>
      <w:pPr>
        <w:spacing w:before="0" w:after="240"/>
      </w:pPr>
      <w:r>
        <w:rPr>
          <w:b/>
          <w:color w:val="1A365D"/>
          <w:sz w:val="44"/>
        </w:rPr>
        <w:t>Business Travel Policy Manual</w:t>
      </w:r>
    </w:p>
    <w:tbl>
      <w:tblPr>
        <w:tblW w:type="auto" w:w="0"/>
        <w:jc w:val="center"/>
        <w:tblLook w:firstColumn="1" w:firstRow="1" w:lastColumn="0" w:lastRow="0" w:noHBand="0" w:noVBand="1" w:val="04A0"/>
      </w:tblPr>
      <w:tblGrid>
        <w:gridCol w:w="4680"/>
        <w:gridCol w:w="4680"/>
      </w:tblGrid>
      <w:tr>
        <w:tc>
          <w:tcPr>
            <w:tcW w:type="dxa" w:w="4680"/>
            <w:shd w:fill="F7FAFC"/>
            <w:tcMar>
              <w:top w:w="100" w:type="dxa"/>
              <w:bottom w:w="100" w:type="dxa"/>
              <w:left w:w="120" w:type="dxa"/>
              <w:right w:w="120" w:type="dxa"/>
            </w:tcMar>
          </w:tcPr>
          <w:p>
            <w:pPr>
              <w:spacing w:before="0" w:after="0"/>
            </w:pPr>
            <w:r>
              <w:rPr>
                <w:b/>
                <w:color w:val="1A365D"/>
                <w:sz w:val="19"/>
              </w:rPr>
              <w:t>Document Code:</w:t>
            </w:r>
            <w:r>
              <w:rPr>
                <w:color w:val="2D3748"/>
                <w:sz w:val="19"/>
              </w:rPr>
              <w:t xml:space="preserve"> POL-TRV-2026-02</w:t>
            </w:r>
          </w:p>
        </w:tc>
        <w:tc>
          <w:tcPr>
            <w:tcW w:type="dxa" w:w="4680"/>
            <w:shd w:fill="F7FAFC"/>
            <w:tcMar>
              <w:top w:w="100" w:type="dxa"/>
              <w:bottom w:w="100" w:type="dxa"/>
              <w:left w:w="120" w:type="dxa"/>
              <w:right w:w="120" w:type="dxa"/>
            </w:tcMar>
          </w:tcPr>
          <w:p>
            <w:pPr>
              <w:spacing w:before="0" w:after="0"/>
            </w:pPr>
            <w:r>
              <w:rPr>
                <w:b/>
                <w:color w:val="1A365D"/>
                <w:sz w:val="19"/>
              </w:rPr>
              <w:t>Effective Date:</w:t>
            </w:r>
            <w:r>
              <w:rPr>
                <w:color w:val="2D3748"/>
                <w:sz w:val="19"/>
              </w:rPr>
              <w:t xml:space="preserve"> Jan 01, 2026</w:t>
            </w:r>
          </w:p>
        </w:tc>
      </w:tr>
      <w:tr>
        <w:tc>
          <w:tcPr>
            <w:tcW w:type="dxa" w:w="4680"/>
            <w:shd w:fill="F7FAFC"/>
            <w:tcMar>
              <w:top w:w="100" w:type="dxa"/>
              <w:bottom w:w="100" w:type="dxa"/>
              <w:left w:w="120" w:type="dxa"/>
              <w:right w:w="120" w:type="dxa"/>
            </w:tcMar>
          </w:tcPr>
          <w:p>
            <w:pPr>
              <w:spacing w:before="0" w:after="0"/>
            </w:pPr>
            <w:r>
              <w:rPr>
                <w:b/>
                <w:color w:val="1A365D"/>
                <w:sz w:val="19"/>
              </w:rPr>
              <w:t>Version:</w:t>
            </w:r>
            <w:r>
              <w:rPr>
                <w:color w:val="2D3748"/>
                <w:sz w:val="19"/>
              </w:rPr>
              <w:t xml:space="preserve"> 2.4 (PoC Draft)</w:t>
            </w:r>
          </w:p>
        </w:tc>
        <w:tc>
          <w:tcPr>
            <w:tcW w:type="dxa" w:w="4680"/>
            <w:shd w:fill="F7FAFC"/>
            <w:tcMar>
              <w:top w:w="100" w:type="dxa"/>
              <w:bottom w:w="100" w:type="dxa"/>
              <w:left w:w="120" w:type="dxa"/>
              <w:right w:w="120" w:type="dxa"/>
            </w:tcMar>
          </w:tcPr>
          <w:p>
            <w:pPr>
              <w:spacing w:before="0" w:after="0"/>
            </w:pPr>
            <w:r>
              <w:rPr>
                <w:b/>
                <w:color w:val="1A365D"/>
                <w:sz w:val="19"/>
              </w:rPr>
              <w:t>Applicability:</w:t>
            </w:r>
            <w:r>
              <w:rPr>
                <w:color w:val="2D3748"/>
                <w:sz w:val="19"/>
              </w:rPr>
              <w:t xml:space="preserve"> All Employees &amp; Contractors</w:t>
            </w:r>
          </w:p>
        </w:tc>
      </w:tr>
    </w:tbl>
    <w:p>
      <w:pPr>
        <w:spacing w:after="160"/>
      </w:pPr>
    </w:p>
    <w:p>
      <w:pPr>
        <w:keepNext/>
        <w:spacing w:before="280" w:after="80"/>
      </w:pPr>
      <w:r>
        <w:rPr>
          <w:b/>
          <w:color w:val="1A365D"/>
          <w:sz w:val="28"/>
        </w:rPr>
        <w:t>1. Purpose &amp; Scope</w:t>
      </w:r>
    </w:p>
    <w:p>
      <w:r>
        <w:t>This policy defines the operational guidelines, spending limits, authorization matrix, and reimbursement procedures for business-related travel conducted on behalf of ABC Enterprise. It aims to ensure traveler safety, comfort, and equitable treatment while stewarding company financial resources responsibly.</w:t>
      </w:r>
    </w:p>
    <w:p>
      <w:pPr>
        <w:keepNext/>
        <w:spacing w:before="280" w:after="80"/>
      </w:pPr>
      <w:r>
        <w:rPr>
          <w:b/>
          <w:color w:val="1A365D"/>
          <w:sz w:val="28"/>
        </w:rPr>
        <w:t>2. Travel Class &amp; Accommodation Entitlements</w:t>
      </w:r>
    </w:p>
    <w:p>
      <w:r>
        <w:t>Employees traveling on official company assignments are entitled to transport and lodging arrangements based on job level and journey type:</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Mar>
              <w:top w:w="120" w:type="dxa"/>
              <w:bottom w:w="120" w:type="dxa"/>
              <w:left w:w="120" w:type="dxa"/>
              <w:right w:w="120" w:type="dxa"/>
            </w:tcMar>
          </w:tcPr>
          <w:p>
            <w:pPr>
              <w:spacing w:after="0"/>
            </w:pPr>
            <w:r>
              <w:rPr>
                <w:b/>
                <w:color w:val="FFFFFF"/>
                <w:sz w:val="19"/>
              </w:rPr>
              <w:t>Employee Band / Level</w:t>
            </w:r>
          </w:p>
        </w:tc>
        <w:tc>
          <w:tcPr>
            <w:tcW w:type="dxa" w:w="2340"/>
            <w:shd w:fill="2B6CB0"/>
            <w:tcMar>
              <w:top w:w="120" w:type="dxa"/>
              <w:bottom w:w="120" w:type="dxa"/>
              <w:left w:w="120" w:type="dxa"/>
              <w:right w:w="120" w:type="dxa"/>
            </w:tcMar>
          </w:tcPr>
          <w:p>
            <w:pPr>
              <w:spacing w:after="0"/>
            </w:pPr>
            <w:r>
              <w:rPr>
                <w:b/>
                <w:color w:val="FFFFFF"/>
                <w:sz w:val="19"/>
              </w:rPr>
              <w:t>Air Travel</w:t>
            </w:r>
          </w:p>
        </w:tc>
        <w:tc>
          <w:tcPr>
            <w:tcW w:type="dxa" w:w="2340"/>
            <w:shd w:fill="2B6CB0"/>
            <w:tcMar>
              <w:top w:w="120" w:type="dxa"/>
              <w:bottom w:w="120" w:type="dxa"/>
              <w:left w:w="120" w:type="dxa"/>
              <w:right w:w="120" w:type="dxa"/>
            </w:tcMar>
          </w:tcPr>
          <w:p>
            <w:pPr>
              <w:spacing w:after="0"/>
            </w:pPr>
            <w:r>
              <w:rPr>
                <w:b/>
                <w:color w:val="FFFFFF"/>
                <w:sz w:val="19"/>
              </w:rPr>
              <w:t>Rail Travel</w:t>
            </w:r>
          </w:p>
        </w:tc>
        <w:tc>
          <w:tcPr>
            <w:tcW w:type="dxa" w:w="2340"/>
            <w:shd w:fill="2B6CB0"/>
            <w:tcMar>
              <w:top w:w="120" w:type="dxa"/>
              <w:bottom w:w="120" w:type="dxa"/>
              <w:left w:w="120" w:type="dxa"/>
              <w:right w:w="120" w:type="dxa"/>
            </w:tcMar>
          </w:tcPr>
          <w:p>
            <w:pPr>
              <w:spacing w:after="0"/>
            </w:pPr>
            <w:r>
              <w:rPr>
                <w:b/>
                <w:color w:val="FFFFFF"/>
                <w:sz w:val="19"/>
              </w:rPr>
              <w:t>Hotel Daily Cap (Tier 1)</w:t>
            </w:r>
          </w:p>
        </w:tc>
      </w:tr>
      <w:tr>
        <w:tc>
          <w:tcPr>
            <w:tcW w:type="dxa" w:w="2340"/>
            <w:shd w:fill="FFFFFF"/>
            <w:tcMar>
              <w:top w:w="100" w:type="dxa"/>
              <w:bottom w:w="100" w:type="dxa"/>
              <w:left w:w="120" w:type="dxa"/>
              <w:right w:w="120" w:type="dxa"/>
            </w:tcMar>
          </w:tcPr>
          <w:p>
            <w:pPr>
              <w:spacing w:after="0"/>
            </w:pPr>
            <w:r>
              <w:rPr>
                <w:sz w:val="19"/>
              </w:rPr>
              <w:t>Executive (VP / C-Suite)</w:t>
            </w:r>
          </w:p>
        </w:tc>
        <w:tc>
          <w:tcPr>
            <w:tcW w:type="dxa" w:w="2340"/>
            <w:shd w:fill="FFFFFF"/>
            <w:tcMar>
              <w:top w:w="100" w:type="dxa"/>
              <w:bottom w:w="100" w:type="dxa"/>
              <w:left w:w="120" w:type="dxa"/>
              <w:right w:w="120" w:type="dxa"/>
            </w:tcMar>
          </w:tcPr>
          <w:p>
            <w:pPr>
              <w:spacing w:after="0"/>
            </w:pPr>
            <w:r>
              <w:rPr>
                <w:sz w:val="19"/>
              </w:rPr>
              <w:t>Business Class (&gt;4 hrs) / Economy</w:t>
            </w:r>
          </w:p>
        </w:tc>
        <w:tc>
          <w:tcPr>
            <w:tcW w:type="dxa" w:w="2340"/>
            <w:shd w:fill="FFFFFF"/>
            <w:tcMar>
              <w:top w:w="100" w:type="dxa"/>
              <w:bottom w:w="100" w:type="dxa"/>
              <w:left w:w="120" w:type="dxa"/>
              <w:right w:w="120" w:type="dxa"/>
            </w:tcMar>
          </w:tcPr>
          <w:p>
            <w:pPr>
              <w:spacing w:after="0"/>
            </w:pPr>
            <w:r>
              <w:rPr>
                <w:sz w:val="19"/>
              </w:rPr>
              <w:t>AC 1st Class / Executive</w:t>
            </w:r>
          </w:p>
        </w:tc>
        <w:tc>
          <w:tcPr>
            <w:tcW w:type="dxa" w:w="2340"/>
            <w:shd w:fill="FFFFFF"/>
            <w:tcMar>
              <w:top w:w="100" w:type="dxa"/>
              <w:bottom w:w="100" w:type="dxa"/>
              <w:left w:w="120" w:type="dxa"/>
              <w:right w:w="120" w:type="dxa"/>
            </w:tcMar>
          </w:tcPr>
          <w:p>
            <w:pPr>
              <w:spacing w:after="0"/>
            </w:pPr>
            <w:r>
              <w:rPr>
                <w:sz w:val="19"/>
              </w:rPr>
              <w:t>$350 / night (Actuals)</w:t>
            </w:r>
          </w:p>
        </w:tc>
      </w:tr>
      <w:tr>
        <w:tc>
          <w:tcPr>
            <w:tcW w:type="dxa" w:w="2340"/>
            <w:shd w:fill="F8FAFC"/>
            <w:tcMar>
              <w:top w:w="100" w:type="dxa"/>
              <w:bottom w:w="100" w:type="dxa"/>
              <w:left w:w="120" w:type="dxa"/>
              <w:right w:w="120" w:type="dxa"/>
            </w:tcMar>
          </w:tcPr>
          <w:p>
            <w:pPr>
              <w:spacing w:after="0"/>
            </w:pPr>
            <w:r>
              <w:rPr>
                <w:sz w:val="19"/>
              </w:rPr>
              <w:t>Senior Management (M3 - D2)</w:t>
            </w:r>
          </w:p>
        </w:tc>
        <w:tc>
          <w:tcPr>
            <w:tcW w:type="dxa" w:w="2340"/>
            <w:shd w:fill="F8FAFC"/>
            <w:tcMar>
              <w:top w:w="100" w:type="dxa"/>
              <w:bottom w:w="100" w:type="dxa"/>
              <w:left w:w="120" w:type="dxa"/>
              <w:right w:w="120" w:type="dxa"/>
            </w:tcMar>
          </w:tcPr>
          <w:p>
            <w:pPr>
              <w:spacing w:after="0"/>
            </w:pPr>
            <w:r>
              <w:rPr>
                <w:sz w:val="19"/>
              </w:rPr>
              <w:t>Economy (Lowest logical fare)</w:t>
            </w:r>
          </w:p>
        </w:tc>
        <w:tc>
          <w:tcPr>
            <w:tcW w:type="dxa" w:w="2340"/>
            <w:shd w:fill="F8FAFC"/>
            <w:tcMar>
              <w:top w:w="100" w:type="dxa"/>
              <w:bottom w:w="100" w:type="dxa"/>
              <w:left w:w="120" w:type="dxa"/>
              <w:right w:w="120" w:type="dxa"/>
            </w:tcMar>
          </w:tcPr>
          <w:p>
            <w:pPr>
              <w:spacing w:after="0"/>
            </w:pPr>
            <w:r>
              <w:rPr>
                <w:sz w:val="19"/>
              </w:rPr>
              <w:t>AC 2-Tier / AC Chair Car</w:t>
            </w:r>
          </w:p>
        </w:tc>
        <w:tc>
          <w:tcPr>
            <w:tcW w:type="dxa" w:w="2340"/>
            <w:shd w:fill="F8FAFC"/>
            <w:tcMar>
              <w:top w:w="100" w:type="dxa"/>
              <w:bottom w:w="100" w:type="dxa"/>
              <w:left w:w="120" w:type="dxa"/>
              <w:right w:w="120" w:type="dxa"/>
            </w:tcMar>
          </w:tcPr>
          <w:p>
            <w:pPr>
              <w:spacing w:after="0"/>
            </w:pPr>
            <w:r>
              <w:rPr>
                <w:sz w:val="19"/>
              </w:rPr>
              <w:t>$220 / night</w:t>
            </w:r>
          </w:p>
        </w:tc>
      </w:tr>
      <w:tr>
        <w:tc>
          <w:tcPr>
            <w:tcW w:type="dxa" w:w="2340"/>
            <w:shd w:fill="FFFFFF"/>
            <w:tcMar>
              <w:top w:w="100" w:type="dxa"/>
              <w:bottom w:w="100" w:type="dxa"/>
              <w:left w:w="120" w:type="dxa"/>
              <w:right w:w="120" w:type="dxa"/>
            </w:tcMar>
          </w:tcPr>
          <w:p>
            <w:pPr>
              <w:spacing w:after="0"/>
            </w:pPr>
            <w:r>
              <w:rPr>
                <w:sz w:val="19"/>
              </w:rPr>
              <w:t>Individual Contributor / Lead</w:t>
            </w:r>
          </w:p>
        </w:tc>
        <w:tc>
          <w:tcPr>
            <w:tcW w:type="dxa" w:w="2340"/>
            <w:shd w:fill="FFFFFF"/>
            <w:tcMar>
              <w:top w:w="100" w:type="dxa"/>
              <w:bottom w:w="100" w:type="dxa"/>
              <w:left w:w="120" w:type="dxa"/>
              <w:right w:w="120" w:type="dxa"/>
            </w:tcMar>
          </w:tcPr>
          <w:p>
            <w:pPr>
              <w:spacing w:after="0"/>
            </w:pPr>
            <w:r>
              <w:rPr>
                <w:sz w:val="19"/>
              </w:rPr>
              <w:t>Economy (Lowest logical fare)</w:t>
            </w:r>
          </w:p>
        </w:tc>
        <w:tc>
          <w:tcPr>
            <w:tcW w:type="dxa" w:w="2340"/>
            <w:shd w:fill="FFFFFF"/>
            <w:tcMar>
              <w:top w:w="100" w:type="dxa"/>
              <w:bottom w:w="100" w:type="dxa"/>
              <w:left w:w="120" w:type="dxa"/>
              <w:right w:w="120" w:type="dxa"/>
            </w:tcMar>
          </w:tcPr>
          <w:p>
            <w:pPr>
              <w:spacing w:after="0"/>
            </w:pPr>
            <w:r>
              <w:rPr>
                <w:sz w:val="19"/>
              </w:rPr>
              <w:t>AC 3-Tier / AC Chair Car</w:t>
            </w:r>
          </w:p>
        </w:tc>
        <w:tc>
          <w:tcPr>
            <w:tcW w:type="dxa" w:w="2340"/>
            <w:shd w:fill="FFFFFF"/>
            <w:tcMar>
              <w:top w:w="100" w:type="dxa"/>
              <w:bottom w:w="100" w:type="dxa"/>
              <w:left w:w="120" w:type="dxa"/>
              <w:right w:w="120" w:type="dxa"/>
            </w:tcMar>
          </w:tcPr>
          <w:p>
            <w:pPr>
              <w:spacing w:after="0"/>
            </w:pPr>
            <w:r>
              <w:rPr>
                <w:sz w:val="19"/>
              </w:rPr>
              <w:t>$150 / night</w:t>
            </w:r>
          </w:p>
        </w:tc>
      </w:tr>
    </w:tbl>
    <w:p>
      <w:pPr>
        <w:spacing w:after="120"/>
      </w:pPr>
    </w:p>
    <w:p>
      <w:pPr>
        <w:keepNext/>
        <w:spacing w:before="280" w:after="80"/>
      </w:pPr>
      <w:r>
        <w:rPr>
          <w:b/>
          <w:color w:val="1A365D"/>
          <w:sz w:val="28"/>
        </w:rPr>
        <w:t>3. Daily Allowances &amp; Meals (Per Diem)</w:t>
      </w:r>
    </w:p>
    <w:p>
      <w:r>
        <w:t>For domestic and international assignments, ABC Enterprise provides a standard daily meal allowance (per diem) to cover breakfast, lunch, dinner, and incidental expenses where meals are not hosted or provided by the company or client:</w:t>
      </w:r>
    </w:p>
    <w:p>
      <w:pPr>
        <w:pStyle w:val="ListBullet"/>
      </w:pPr>
      <w:r>
        <w:t>• Domestic Travel: Standard daily per diem of $75/day (Metros) or $55/day (Non-metros).</w:t>
      </w:r>
    </w:p>
    <w:p>
      <w:pPr>
        <w:pStyle w:val="ListBullet"/>
      </w:pPr>
      <w:r>
        <w:t>• International Travel: Country-specific per diem rates as per company travel portal appendix (e.g., $100/day for US/UK/EU).</w:t>
      </w:r>
    </w:p>
    <w:p>
      <w:pPr>
        <w:pStyle w:val="ListBullet"/>
      </w:pPr>
      <w:r>
        <w:t>• Alcohol and personal minibar expenses are strictly non-reimbursable.</w:t>
      </w:r>
    </w:p>
    <w:p>
      <w:pPr>
        <w:keepNext/>
        <w:spacing w:before="280" w:after="80"/>
      </w:pPr>
      <w:r>
        <w:rPr>
          <w:b/>
          <w:color w:val="1A365D"/>
          <w:sz w:val="28"/>
        </w:rPr>
        <w:t>4. Booking &amp; Approval Process</w:t>
      </w:r>
    </w:p>
    <w:p>
      <w:pPr>
        <w:keepNext/>
        <w:spacing w:before="200" w:after="60"/>
      </w:pPr>
      <w:r>
        <w:rPr>
          <w:b/>
          <w:color w:val="2B6CB0"/>
          <w:sz w:val="23"/>
        </w:rPr>
        <w:t>4.1 Advance Booking Window</w:t>
      </w:r>
    </w:p>
    <w:p>
      <w:r>
        <w:t>All business travel must be booked through ABC Enterprise's official travel management tool (or designated corporate desk) at least 14 days in advance for domestic travel and 21 days for international travel to optimize corporate rates.</w:t>
      </w:r>
    </w:p>
    <w:p>
      <w:pPr>
        <w:keepNext/>
        <w:spacing w:before="200" w:after="60"/>
      </w:pPr>
      <w:r>
        <w:rPr>
          <w:b/>
          <w:color w:val="2B6CB0"/>
          <w:sz w:val="23"/>
        </w:rPr>
        <w:t>4.2 Pre-Travel Authorization Matrix</w:t>
      </w:r>
    </w:p>
    <w:p>
      <w:pPr>
        <w:pStyle w:val="ListNumber"/>
      </w:pPr>
      <w:r>
        <w:t>1. Domestic Trips (&lt; $1,500 total estimated spend): Requires immediate Line Manager approval.</w:t>
      </w:r>
    </w:p>
    <w:p>
      <w:pPr>
        <w:pStyle w:val="ListNumber"/>
      </w:pPr>
      <w:r>
        <w:t>2. Domestic Trips (≥ $1,500 total spend): Requires Line Manager and Department Head (VP) approval.</w:t>
      </w:r>
    </w:p>
    <w:p>
      <w:pPr>
        <w:pStyle w:val="ListNumber"/>
      </w:pPr>
      <w:r>
        <w:t>3. International Travel: Requires Department Head and Chief Financial Officer (CFO) sign-off.</w:t>
      </w:r>
    </w:p>
    <w:p>
      <w:pPr>
        <w:keepNext/>
        <w:spacing w:before="280" w:after="80"/>
      </w:pPr>
      <w:r>
        <w:rPr>
          <w:b/>
          <w:color w:val="1A365D"/>
          <w:sz w:val="28"/>
        </w:rPr>
        <w:t>5. Ground Transportation &amp; Personal Vehicle Use</w:t>
      </w:r>
    </w:p>
    <w:p>
      <w:pPr>
        <w:pStyle w:val="ListBullet"/>
      </w:pPr>
      <w:r>
        <w:t>• Employees are encouraged to utilize corporate app-based cabs (Uber for Business / local equivalents) linked to ABC Enterprise billing.</w:t>
      </w:r>
    </w:p>
    <w:p>
      <w:pPr>
        <w:pStyle w:val="ListBullet"/>
      </w:pPr>
      <w:r>
        <w:t>• Personal Vehicle Mileage: Reimbursement at the standard rate of $0.65/mile (or local equivalent statutory rate) for official travel exceeding usual home-to-office commutes.</w:t>
      </w:r>
    </w:p>
    <w:p>
      <w:pPr>
        <w:pStyle w:val="ListBullet"/>
      </w:pPr>
      <w:r>
        <w:t>• Airport parking is covered for trips up to a maximum duration of 4 days.</w:t>
      </w:r>
    </w:p>
    <w:p>
      <w:pPr>
        <w:keepNext/>
        <w:spacing w:before="280" w:after="80"/>
      </w:pPr>
      <w:r>
        <w:rPr>
          <w:b/>
          <w:color w:val="1A365D"/>
          <w:sz w:val="28"/>
        </w:rPr>
        <w:t>6. Expense Settlement &amp; Reimbursement Timeline</w:t>
      </w:r>
    </w:p>
    <w:p>
      <w:r>
        <w:t>All expense claims must be filed within 15 calendar days following return from travel. Required documentation includes itemized receipts for any individual expense item over $25, boarding passes, and lodging invoices detailing room rates and taxes.</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160" w:type="dxa"/>
              <w:right w:w="160" w:type="dxa"/>
            </w:tcMar>
          </w:tcPr>
          <w:p>
            <w:pPr>
              <w:spacing w:after="0"/>
            </w:pPr>
            <w:r>
              <w:rPr>
                <w:b/>
                <w:color w:val="2B6CB0"/>
                <w:sz w:val="19"/>
              </w:rPr>
              <w:t xml:space="preserve">PoC Sample Document: </w:t>
            </w:r>
            <w:r>
              <w:rPr>
                <w:color w:val="2D3748"/>
                <w:sz w:val="19"/>
              </w:rPr>
              <w:t>This document is tailored as a Proof of Concept policy draft for ABC Enterprise. Specific financial caps, approval thresholds, and per-diem tables can be adjusted based on corporate budgeting.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