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Student:SOUMYADIP GHOSH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S8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REMARK: responsible and supportive.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