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Student:SHERRY SHARMA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U101116FCS287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S9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REMARK: DID GOOD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