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0F6B5C"/>
          <w:sz w:val="26"/>
          <w:szCs w:val="26"/>
        </w:rPr>
        <w:t xml:space="preserve">PRODUCT REQUIREMENTS DOCUMENT</w:t>
      </w:r>
    </w:p>
    <w:p>
      <w:pPr>
        <w:spacing w:after="100"/>
        <w:jc w:val="center"/>
      </w:pPr>
      <w:r>
        <w:rPr>
          <w:b/>
          <w:bCs/>
          <w:color w:val="1F3864"/>
          <w:sz w:val="56"/>
          <w:szCs w:val="56"/>
        </w:rPr>
        <w:t xml:space="preserve">VeriBhoomi AI</w:t>
      </w:r>
    </w:p>
    <w:p>
      <w:pPr>
        <w:spacing w:after="400"/>
        <w:jc w:val="center"/>
      </w:pPr>
      <w:r>
        <w:rPr>
          <w:color w:val="333333"/>
          <w:sz w:val="26"/>
          <w:szCs w:val="26"/>
        </w:rPr>
        <w:t xml:space="preserve">Intelligent Land Record Digitization &amp; Validation System</w:t>
      </w:r>
    </w:p>
    <w:p>
      <w:pPr>
        <w:spacing w:after="60"/>
        <w:jc w:val="center"/>
      </w:pPr>
      <w:r>
        <w:rPr>
          <w:color w:val="595959"/>
          <w:sz w:val="21"/>
          <w:szCs w:val="21"/>
        </w:rPr>
        <w:t xml:space="preserve">Smart India Hackathon 2026 · Problem Statement SIH26018</w:t>
      </w:r>
    </w:p>
    <w:p>
      <w:pPr>
        <w:spacing w:after="60"/>
        <w:jc w:val="center"/>
      </w:pPr>
      <w:r>
        <w:rPr>
          <w:color w:val="595959"/>
          <w:sz w:val="21"/>
          <w:szCs w:val="21"/>
        </w:rPr>
        <w:t xml:space="preserve">Ministry of Rural Development · Theme: Smart Automation</w:t>
      </w:r>
    </w:p>
    <w:p>
      <w:pPr>
        <w:spacing w:after="60" w:before="800"/>
        <w:jc w:val="center"/>
      </w:pPr>
      <w:r>
        <w:rPr>
          <w:color w:val="595959"/>
          <w:sz w:val="19"/>
          <w:szCs w:val="19"/>
        </w:rPr>
        <w:t xml:space="preserve">Document status: Draft v1.0  |  Prepared: 12 September 2026</w:t>
      </w:r>
    </w:p>
    <w:p>
      <w:pPr>
        <w:spacing w:after="900"/>
        <w:jc w:val="center"/>
      </w:pPr>
      <w:r>
        <w:rPr>
          <w:i/>
          <w:iCs/>
          <w:color w:val="595959"/>
          <w:sz w:val="18"/>
          <w:szCs w:val="18"/>
        </w:rPr>
        <w:t xml:space="preserve">Prepared as a planning artifact for hackathon submission — not a build.</w:t>
      </w:r>
    </w:p>
    <w:p>
      <w:pPr>
        <w:sectPr>
          <w:pgSz w:w="12240" w:h="15840" w:orient="portrait"/>
          <w:pgMar w:top="1000" w:right="1100" w:bottom="1000" w:left="1100" w:header="708" w:footer="708" w:gutter="0"/>
          <w:pgNumType/>
          <w:docGrid w:linePitch="360"/>
        </w:sectPr>
      </w:pPr>
    </w:p>
    <w:p>
      <w:pPr>
        <w:pStyle w:val="Heading1"/>
        <w:pBdr>
          <w:bottom w:val="single" w:color="1F3864" w:sz="6" w:space="4"/>
        </w:pBdr>
        <w:spacing w:after="160" w:before="380"/>
      </w:pPr>
      <w:r>
        <w:rPr>
          <w:b/>
          <w:bCs/>
          <w:color w:val="1F3864"/>
          <w:sz w:val="30"/>
          <w:szCs w:val="30"/>
        </w:rPr>
        <w:t xml:space="preserve">0. Document Control &amp; Naming Note</w:t>
      </w:r>
    </w:p>
    <w:p>
      <w:pPr>
        <w:spacing w:after="140" w:line="300"/>
      </w:pPr>
      <w:r>
        <w:rPr>
          <w:color w:val="222222"/>
          <w:sz w:val="21"/>
          <w:szCs w:val="21"/>
        </w:rPr>
        <w:t xml:space="preserve">This PRD covers SIH26018 — “Intelligent Land Record Digitization and Validation System”. The working product name “VeriBhoomi AI” is used throughout purely as a placeholder codename for this document; rename it freely for your team's branding. It is deliberately distinct from existing government brand names (Bhulekh, Bhu Abhilekh, DILRMP) to avoid confusion in front of judges.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10"/>
              <w:bottom w:type="dxa" w:w="80"/>
              <w:right w:type="dxa" w:w="110"/>
            </w:tcMar>
          </w:tcPr>
          <w:p>
            <w:r>
              <w:rPr>
                <w:b/>
                <w:bCs/>
                <w:color w:val="FFFFFF"/>
                <w:sz w:val="19"/>
                <w:szCs w:val="19"/>
              </w:rPr>
              <w:t xml:space="preserve">Field</w:t>
            </w:r>
          </w:p>
        </w:tc>
        <w:tc>
          <w:tcPr>
            <w:tcW w:type="dxa" w:w="6150"/>
            <w:shd w:fill="1F3864" w:val="clear"/>
            <w:tcMar>
              <w:top w:type="dxa" w:w="80"/>
              <w:left w:type="dxa" w:w="110"/>
              <w:bottom w:type="dxa" w:w="80"/>
              <w:right w:type="dxa" w:w="110"/>
            </w:tcMar>
          </w:tcPr>
          <w:p>
            <w:r>
              <w:rPr>
                <w:b/>
                <w:bCs/>
                <w:color w:val="FFFFFF"/>
                <w:sz w:val="19"/>
                <w:szCs w:val="19"/>
              </w:rPr>
              <w:t xml:space="preserve">Value</w:t>
            </w:r>
          </w:p>
        </w:tc>
      </w:tr>
      <w:tr>
        <w:tc>
          <w:tcPr>
            <w:tcW w:type="dxa" w:w="3200"/>
            <w:tcMar>
              <w:top w:type="dxa" w:w="80"/>
              <w:left w:type="dxa" w:w="110"/>
              <w:bottom w:type="dxa" w:w="80"/>
              <w:right w:type="dxa" w:w="110"/>
            </w:tcMar>
          </w:tcPr>
          <w:p>
            <w:r>
              <w:rPr>
                <w:b w:val="false"/>
                <w:bCs w:val="false"/>
                <w:color w:val="222222"/>
                <w:sz w:val="19"/>
                <w:szCs w:val="19"/>
              </w:rPr>
              <w:t xml:space="preserve">Problem Statement ID</w:t>
            </w:r>
          </w:p>
        </w:tc>
        <w:tc>
          <w:tcPr>
            <w:tcW w:type="dxa" w:w="6150"/>
            <w:tcMar>
              <w:top w:type="dxa" w:w="80"/>
              <w:left w:type="dxa" w:w="110"/>
              <w:bottom w:type="dxa" w:w="80"/>
              <w:right w:type="dxa" w:w="110"/>
            </w:tcMar>
          </w:tcPr>
          <w:p>
            <w:r>
              <w:rPr>
                <w:b w:val="false"/>
                <w:bCs w:val="false"/>
                <w:color w:val="222222"/>
                <w:sz w:val="19"/>
                <w:szCs w:val="19"/>
              </w:rPr>
              <w:t xml:space="preserve">SIH26018</w:t>
            </w:r>
          </w:p>
        </w:tc>
      </w:tr>
      <w:tr>
        <w:tc>
          <w:tcPr>
            <w:tcW w:type="dxa" w:w="3200"/>
            <w:shd w:fill="EAF1EF" w:val="clear"/>
            <w:tcMar>
              <w:top w:type="dxa" w:w="80"/>
              <w:left w:type="dxa" w:w="110"/>
              <w:bottom w:type="dxa" w:w="80"/>
              <w:right w:type="dxa" w:w="110"/>
            </w:tcMar>
          </w:tcPr>
          <w:p>
            <w:r>
              <w:rPr>
                <w:b w:val="false"/>
                <w:bCs w:val="false"/>
                <w:color w:val="222222"/>
                <w:sz w:val="19"/>
                <w:szCs w:val="19"/>
              </w:rPr>
              <w:t xml:space="preserve">Ministry / Department</w:t>
            </w:r>
          </w:p>
        </w:tc>
        <w:tc>
          <w:tcPr>
            <w:tcW w:type="dxa" w:w="6150"/>
            <w:shd w:fill="EAF1EF" w:val="clear"/>
            <w:tcMar>
              <w:top w:type="dxa" w:w="80"/>
              <w:left w:type="dxa" w:w="110"/>
              <w:bottom w:type="dxa" w:w="80"/>
              <w:right w:type="dxa" w:w="110"/>
            </w:tcMar>
          </w:tcPr>
          <w:p>
            <w:r>
              <w:rPr>
                <w:b w:val="false"/>
                <w:bCs w:val="false"/>
                <w:color w:val="222222"/>
                <w:sz w:val="19"/>
                <w:szCs w:val="19"/>
              </w:rPr>
              <w:t xml:space="preserve">Ministry of Rural Development</w:t>
            </w:r>
          </w:p>
        </w:tc>
      </w:tr>
      <w:tr>
        <w:tc>
          <w:tcPr>
            <w:tcW w:type="dxa" w:w="3200"/>
            <w:tcMar>
              <w:top w:type="dxa" w:w="80"/>
              <w:left w:type="dxa" w:w="110"/>
              <w:bottom w:type="dxa" w:w="80"/>
              <w:right w:type="dxa" w:w="110"/>
            </w:tcMar>
          </w:tcPr>
          <w:p>
            <w:r>
              <w:rPr>
                <w:b w:val="false"/>
                <w:bCs w:val="false"/>
                <w:color w:val="222222"/>
                <w:sz w:val="19"/>
                <w:szCs w:val="19"/>
              </w:rPr>
              <w:t xml:space="preserve">Category</w:t>
            </w:r>
          </w:p>
        </w:tc>
        <w:tc>
          <w:tcPr>
            <w:tcW w:type="dxa" w:w="6150"/>
            <w:tcMar>
              <w:top w:type="dxa" w:w="80"/>
              <w:left w:type="dxa" w:w="110"/>
              <w:bottom w:type="dxa" w:w="80"/>
              <w:right w:type="dxa" w:w="110"/>
            </w:tcMar>
          </w:tcPr>
          <w:p>
            <w:r>
              <w:rPr>
                <w:b w:val="false"/>
                <w:bCs w:val="false"/>
                <w:color w:val="222222"/>
                <w:sz w:val="19"/>
                <w:szCs w:val="19"/>
              </w:rPr>
              <w:t xml:space="preserve">Software · Smart Automation</w:t>
            </w:r>
          </w:p>
        </w:tc>
      </w:tr>
      <w:tr>
        <w:tc>
          <w:tcPr>
            <w:tcW w:type="dxa" w:w="3200"/>
            <w:shd w:fill="EAF1EF" w:val="clear"/>
            <w:tcMar>
              <w:top w:type="dxa" w:w="80"/>
              <w:left w:type="dxa" w:w="110"/>
              <w:bottom w:type="dxa" w:w="80"/>
              <w:right w:type="dxa" w:w="110"/>
            </w:tcMar>
          </w:tcPr>
          <w:p>
            <w:r>
              <w:rPr>
                <w:b w:val="false"/>
                <w:bCs w:val="false"/>
                <w:color w:val="222222"/>
                <w:sz w:val="19"/>
                <w:szCs w:val="19"/>
              </w:rPr>
              <w:t xml:space="preserve">Document owner</w:t>
            </w:r>
          </w:p>
        </w:tc>
        <w:tc>
          <w:tcPr>
            <w:tcW w:type="dxa" w:w="6150"/>
            <w:shd w:fill="EAF1EF" w:val="clear"/>
            <w:tcMar>
              <w:top w:type="dxa" w:w="80"/>
              <w:left w:type="dxa" w:w="110"/>
              <w:bottom w:type="dxa" w:w="80"/>
              <w:right w:type="dxa" w:w="110"/>
            </w:tcMar>
          </w:tcPr>
          <w:p>
            <w:r>
              <w:rPr>
                <w:b w:val="false"/>
                <w:bCs w:val="false"/>
                <w:color w:val="222222"/>
                <w:sz w:val="19"/>
                <w:szCs w:val="19"/>
              </w:rPr>
              <w:t xml:space="preserve">Team (fill in team name / lead)</w:t>
            </w:r>
          </w:p>
        </w:tc>
      </w:tr>
      <w:tr>
        <w:tc>
          <w:tcPr>
            <w:tcW w:type="dxa" w:w="3200"/>
            <w:tcMar>
              <w:top w:type="dxa" w:w="80"/>
              <w:left w:type="dxa" w:w="110"/>
              <w:bottom w:type="dxa" w:w="80"/>
              <w:right w:type="dxa" w:w="110"/>
            </w:tcMar>
          </w:tcPr>
          <w:p>
            <w:r>
              <w:rPr>
                <w:b w:val="false"/>
                <w:bCs w:val="false"/>
                <w:color w:val="222222"/>
                <w:sz w:val="19"/>
                <w:szCs w:val="19"/>
              </w:rPr>
              <w:t xml:space="preserve">Version</w:t>
            </w:r>
          </w:p>
        </w:tc>
        <w:tc>
          <w:tcPr>
            <w:tcW w:type="dxa" w:w="6150"/>
            <w:tcMar>
              <w:top w:type="dxa" w:w="80"/>
              <w:left w:type="dxa" w:w="110"/>
              <w:bottom w:type="dxa" w:w="80"/>
              <w:right w:type="dxa" w:w="110"/>
            </w:tcMar>
          </w:tcPr>
          <w:p>
            <w:r>
              <w:rPr>
                <w:b w:val="false"/>
                <w:bCs w:val="false"/>
                <w:color w:val="222222"/>
                <w:sz w:val="19"/>
                <w:szCs w:val="19"/>
              </w:rPr>
              <w:t xml:space="preserve">1.0 — Draft for internal team alignment</w:t>
            </w:r>
          </w:p>
        </w:tc>
      </w:tr>
      <w:tr>
        <w:tc>
          <w:tcPr>
            <w:tcW w:type="dxa" w:w="3200"/>
            <w:shd w:fill="EAF1EF" w:val="clear"/>
            <w:tcMar>
              <w:top w:type="dxa" w:w="80"/>
              <w:left w:type="dxa" w:w="110"/>
              <w:bottom w:type="dxa" w:w="80"/>
              <w:right w:type="dxa" w:w="110"/>
            </w:tcMar>
          </w:tcPr>
          <w:p>
            <w:r>
              <w:rPr>
                <w:b w:val="false"/>
                <w:bCs w:val="false"/>
                <w:color w:val="222222"/>
                <w:sz w:val="19"/>
                <w:szCs w:val="19"/>
              </w:rPr>
              <w:t xml:space="preserve">Scope of this document</w:t>
            </w:r>
          </w:p>
        </w:tc>
        <w:tc>
          <w:tcPr>
            <w:tcW w:type="dxa" w:w="6150"/>
            <w:shd w:fill="EAF1EF" w:val="clear"/>
            <w:tcMar>
              <w:top w:type="dxa" w:w="80"/>
              <w:left w:type="dxa" w:w="110"/>
              <w:bottom w:type="dxa" w:w="80"/>
              <w:right w:type="dxa" w:w="110"/>
            </w:tcMar>
          </w:tcPr>
          <w:p>
            <w:r>
              <w:rPr>
                <w:b w:val="false"/>
                <w:bCs w:val="false"/>
                <w:color w:val="222222"/>
                <w:sz w:val="19"/>
                <w:szCs w:val="19"/>
              </w:rPr>
              <w:t xml:space="preserve">Problem analysis, competitive research, product definition, technical architecture, and build-vs-simulate plan for the SIH prototype</w:t>
            </w:r>
          </w:p>
        </w:tc>
      </w:tr>
    </w:tbl>
    <w:p>
      <w:pPr>
        <w:pStyle w:val="Heading1"/>
        <w:pBdr>
          <w:bottom w:val="single" w:color="1F3864" w:sz="6" w:space="4"/>
        </w:pBdr>
        <w:spacing w:after="160" w:before="380"/>
      </w:pPr>
      <w:r>
        <w:rPr>
          <w:b/>
          <w:bCs/>
          <w:color w:val="1F3864"/>
          <w:sz w:val="30"/>
          <w:szCs w:val="30"/>
        </w:rPr>
        <w:t xml:space="preserve">1. Problem Analysis</w:t>
      </w:r>
    </w:p>
    <w:p>
      <w:pPr>
        <w:pStyle w:val="Heading2"/>
        <w:spacing w:after="120" w:before="260"/>
      </w:pPr>
      <w:r>
        <w:rPr>
          <w:b/>
          <w:bCs/>
          <w:color w:val="0F6B5C"/>
          <w:sz w:val="24"/>
          <w:szCs w:val="24"/>
        </w:rPr>
        <w:t xml:space="preserve">1.1 Restating the actual problem</w:t>
      </w:r>
    </w:p>
    <w:p>
      <w:pPr>
        <w:spacing w:after="140" w:line="300"/>
      </w:pPr>
      <w:r>
        <w:rPr>
          <w:color w:val="222222"/>
          <w:sz w:val="21"/>
          <w:szCs w:val="21"/>
        </w:rPr>
        <w:t xml:space="preserve">Strip away the AI buzzwords and the PS is asking for one thing: a way to move a large, messy backlog of legacy land records — handwritten registers, faded scans, cadastral maps, old PDFs — into structured, verified, database-ready records, without breaking the legal chain of trust in the process. The “intelligent” part (OCR/CV/NLP) is the means; the actual deliverable the government cares about is accurate, auditable digitized data that can safely feed into DILRMP, state LRMS, and GIS systems.</w:t>
      </w:r>
    </w:p>
    <w:p>
      <w:pPr>
        <w:pStyle w:val="Heading2"/>
        <w:spacing w:after="120" w:before="260"/>
      </w:pPr>
      <w:r>
        <w:rPr>
          <w:b/>
          <w:bCs/>
          <w:color w:val="0F6B5C"/>
          <w:sz w:val="24"/>
          <w:szCs w:val="24"/>
        </w:rPr>
        <w:t xml:space="preserve">1.2 Root causes</w:t>
      </w:r>
    </w:p>
    <w:p>
      <w:pPr>
        <w:pStyle w:val="ListParagraph"/>
        <w:numPr>
          <w:ilvl w:val="0"/>
          <w:numId w:val="2"/>
        </w:numPr>
        <w:spacing w:after="80" w:line="290"/>
      </w:pPr>
      <w:r>
        <w:rPr>
          <w:b/>
          <w:bCs/>
          <w:sz w:val="21"/>
          <w:szCs w:val="21"/>
        </w:rPr>
        <w:t xml:space="preserve">Format chaos: </w:t>
      </w:r>
      <w:r>
        <w:rPr>
          <w:sz w:val="21"/>
          <w:szCs w:val="21"/>
        </w:rPr>
        <w:t xml:space="preserve">records exist as handwritten Modi/Devanagari/regional-script registers, typed legacy PDFs, faded carbon-copy forms, and cadastral maps — each needs a different extraction strategy, so a single OCR model was never going to work.</w:t>
      </w:r>
    </w:p>
    <w:p>
      <w:pPr>
        <w:pStyle w:val="ListParagraph"/>
        <w:numPr>
          <w:ilvl w:val="0"/>
          <w:numId w:val="2"/>
        </w:numPr>
        <w:spacing w:after="80" w:line="290"/>
      </w:pPr>
      <w:r>
        <w:rPr>
          <w:b/>
          <w:bCs/>
          <w:sz w:val="21"/>
          <w:szCs w:val="21"/>
        </w:rPr>
        <w:t xml:space="preserve">Manual digitization is the current bottleneck: </w:t>
      </w:r>
      <w:r>
        <w:rPr>
          <w:sz w:val="21"/>
          <w:szCs w:val="21"/>
        </w:rPr>
        <w:t xml:space="preserve">most digitization done so far under DILRMP has been manual re-typing by outsourced data-entry agencies — slow, expensive, and itself a source of new errors (transcription mistakes, inconsistent spellings of village/owner names).</w:t>
      </w:r>
    </w:p>
    <w:p>
      <w:pPr>
        <w:pStyle w:val="ListParagraph"/>
        <w:numPr>
          <w:ilvl w:val="0"/>
          <w:numId w:val="2"/>
        </w:numPr>
        <w:spacing w:after="80" w:line="290"/>
      </w:pPr>
      <w:r>
        <w:rPr>
          <w:b/>
          <w:bCs/>
          <w:sz w:val="21"/>
          <w:szCs w:val="21"/>
        </w:rPr>
        <w:t xml:space="preserve">No confidence or audit layer in legacy manual entry: </w:t>
      </w:r>
      <w:r>
        <w:rPr>
          <w:sz w:val="21"/>
          <w:szCs w:val="21"/>
        </w:rPr>
        <w:t xml:space="preserve">once a clerk types a value, there is typically no record of how confident that entry was, or a structured trail for who verified it — this is what causes silent errors to persist for years and surface only during disputes or mutations.</w:t>
      </w:r>
    </w:p>
    <w:p>
      <w:pPr>
        <w:pStyle w:val="ListParagraph"/>
        <w:numPr>
          <w:ilvl w:val="0"/>
          <w:numId w:val="2"/>
        </w:numPr>
        <w:spacing w:after="80" w:line="290"/>
      </w:pPr>
      <w:r>
        <w:rPr>
          <w:b/>
          <w:bCs/>
          <w:sz w:val="21"/>
          <w:szCs w:val="21"/>
        </w:rPr>
        <w:t xml:space="preserve">Fragmented ownership of the data pipeline: </w:t>
      </w:r>
      <w:r>
        <w:rPr>
          <w:sz w:val="21"/>
          <w:szCs w:val="21"/>
        </w:rPr>
        <w:t xml:space="preserve">Revenue Departments, Survey Departments, DILRMP/NIC, and GIS teams operate fairly independently; a digitization tool that isn't designed to plug into their existing LRMS/GIS/database layer will not be adopted, no matter how good the OCR is.</w:t>
      </w:r>
    </w:p>
    <w:p>
      <w:pPr>
        <w:pStyle w:val="Heading2"/>
        <w:spacing w:after="120" w:before="260"/>
      </w:pPr>
      <w:r>
        <w:rPr>
          <w:b/>
          <w:bCs/>
          <w:color w:val="0F6B5C"/>
          <w:sz w:val="24"/>
          <w:szCs w:val="24"/>
        </w:rPr>
        <w:t xml:space="preserve">1.3 Stakeholders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50"/>
      </w:tblGrid>
      <w:tr>
        <w:trPr>
          <w:tblHeader/>
        </w:trPr>
        <w:tc>
          <w:tcPr>
            <w:tcW w:type="dxa" w:w="1500"/>
            <w:shd w:fill="1F3864" w:val="clear"/>
            <w:tcMar>
              <w:top w:type="dxa" w:w="80"/>
              <w:left w:type="dxa" w:w="110"/>
              <w:bottom w:type="dxa" w:w="80"/>
              <w:right w:type="dxa" w:w="110"/>
            </w:tcMar>
          </w:tcPr>
          <w:p>
            <w:r>
              <w:rPr>
                <w:b/>
                <w:bCs/>
                <w:color w:val="FFFFFF"/>
                <w:sz w:val="19"/>
                <w:szCs w:val="19"/>
              </w:rPr>
              <w:t xml:space="preserve">Type</w:t>
            </w:r>
          </w:p>
        </w:tc>
        <w:tc>
          <w:tcPr>
            <w:tcW w:type="dxa" w:w="3200"/>
            <w:shd w:fill="1F3864" w:val="clear"/>
            <w:tcMar>
              <w:top w:type="dxa" w:w="80"/>
              <w:left w:type="dxa" w:w="110"/>
              <w:bottom w:type="dxa" w:w="80"/>
              <w:right w:type="dxa" w:w="110"/>
            </w:tcMar>
          </w:tcPr>
          <w:p>
            <w:r>
              <w:rPr>
                <w:b/>
                <w:bCs/>
                <w:color w:val="FFFFFF"/>
                <w:sz w:val="19"/>
                <w:szCs w:val="19"/>
              </w:rPr>
              <w:t xml:space="preserve">Stakeholder</w:t>
            </w:r>
          </w:p>
        </w:tc>
        <w:tc>
          <w:tcPr>
            <w:tcW w:type="dxa" w:w="4650"/>
            <w:shd w:fill="1F3864" w:val="clear"/>
            <w:tcMar>
              <w:top w:type="dxa" w:w="80"/>
              <w:left w:type="dxa" w:w="110"/>
              <w:bottom w:type="dxa" w:w="80"/>
              <w:right w:type="dxa" w:w="110"/>
            </w:tcMar>
          </w:tcPr>
          <w:p>
            <w:r>
              <w:rPr>
                <w:b/>
                <w:bCs/>
                <w:color w:val="FFFFFF"/>
                <w:sz w:val="19"/>
                <w:szCs w:val="19"/>
              </w:rPr>
              <w:t xml:space="preserve">Interest</w:t>
            </w:r>
          </w:p>
        </w:tc>
      </w:tr>
      <w:tr>
        <w:tc>
          <w:tcPr>
            <w:tcW w:type="dxa" w:w="1500"/>
            <w:tcMar>
              <w:top w:type="dxa" w:w="80"/>
              <w:left w:type="dxa" w:w="110"/>
              <w:bottom w:type="dxa" w:w="80"/>
              <w:right w:type="dxa" w:w="110"/>
            </w:tcMar>
          </w:tcPr>
          <w:p>
            <w:r>
              <w:rPr>
                <w:b w:val="false"/>
                <w:bCs w:val="false"/>
                <w:color w:val="222222"/>
                <w:sz w:val="19"/>
                <w:szCs w:val="19"/>
              </w:rPr>
              <w:t xml:space="preserve">Primary</w:t>
            </w:r>
          </w:p>
        </w:tc>
        <w:tc>
          <w:tcPr>
            <w:tcW w:type="dxa" w:w="3200"/>
            <w:tcMar>
              <w:top w:type="dxa" w:w="80"/>
              <w:left w:type="dxa" w:w="110"/>
              <w:bottom w:type="dxa" w:w="80"/>
              <w:right w:type="dxa" w:w="110"/>
            </w:tcMar>
          </w:tcPr>
          <w:p>
            <w:r>
              <w:rPr>
                <w:b w:val="false"/>
                <w:bCs w:val="false"/>
                <w:color w:val="222222"/>
                <w:sz w:val="19"/>
                <w:szCs w:val="19"/>
              </w:rPr>
              <w:t xml:space="preserve">Patwari / Data Entry Operator at digitization centre</w:t>
            </w:r>
          </w:p>
        </w:tc>
        <w:tc>
          <w:tcPr>
            <w:tcW w:type="dxa" w:w="4650"/>
            <w:tcMar>
              <w:top w:type="dxa" w:w="80"/>
              <w:left w:type="dxa" w:w="110"/>
              <w:bottom w:type="dxa" w:w="80"/>
              <w:right w:type="dxa" w:w="110"/>
            </w:tcMar>
          </w:tcPr>
          <w:p>
            <w:r>
              <w:rPr>
                <w:b w:val="false"/>
                <w:bCs w:val="false"/>
                <w:color w:val="222222"/>
                <w:sz w:val="19"/>
                <w:szCs w:val="19"/>
              </w:rPr>
              <w:t xml:space="preserve">Needs a fast, low-friction way to upload batches and fix only what the system flags — not retype everything</w:t>
            </w:r>
          </w:p>
        </w:tc>
      </w:tr>
      <w:tr>
        <w:tc>
          <w:tcPr>
            <w:tcW w:type="dxa" w:w="1500"/>
            <w:shd w:fill="EAF1EF" w:val="clear"/>
            <w:tcMar>
              <w:top w:type="dxa" w:w="80"/>
              <w:left w:type="dxa" w:w="110"/>
              <w:bottom w:type="dxa" w:w="80"/>
              <w:right w:type="dxa" w:w="110"/>
            </w:tcMar>
          </w:tcPr>
          <w:p>
            <w:r>
              <w:rPr>
                <w:b w:val="false"/>
                <w:bCs w:val="false"/>
                <w:color w:val="222222"/>
                <w:sz w:val="19"/>
                <w:szCs w:val="19"/>
              </w:rPr>
              <w:t xml:space="preserve">Primary</w:t>
            </w:r>
          </w:p>
        </w:tc>
        <w:tc>
          <w:tcPr>
            <w:tcW w:type="dxa" w:w="3200"/>
            <w:shd w:fill="EAF1EF" w:val="clear"/>
            <w:tcMar>
              <w:top w:type="dxa" w:w="80"/>
              <w:left w:type="dxa" w:w="110"/>
              <w:bottom w:type="dxa" w:w="80"/>
              <w:right w:type="dxa" w:w="110"/>
            </w:tcMar>
          </w:tcPr>
          <w:p>
            <w:r>
              <w:rPr>
                <w:b w:val="false"/>
                <w:bCs w:val="false"/>
                <w:color w:val="222222"/>
                <w:sz w:val="19"/>
                <w:szCs w:val="19"/>
              </w:rPr>
              <w:t xml:space="preserve">Revenue Officer / Tehsildar</w:t>
            </w:r>
          </w:p>
        </w:tc>
        <w:tc>
          <w:tcPr>
            <w:tcW w:type="dxa" w:w="4650"/>
            <w:shd w:fill="EAF1EF" w:val="clear"/>
            <w:tcMar>
              <w:top w:type="dxa" w:w="80"/>
              <w:left w:type="dxa" w:w="110"/>
              <w:bottom w:type="dxa" w:w="80"/>
              <w:right w:type="dxa" w:w="110"/>
            </w:tcMar>
          </w:tcPr>
          <w:p>
            <w:r>
              <w:rPr>
                <w:b w:val="false"/>
                <w:bCs w:val="false"/>
                <w:color w:val="222222"/>
                <w:sz w:val="19"/>
                <w:szCs w:val="19"/>
              </w:rPr>
              <w:t xml:space="preserve">Needs to verify and approve digitized records before they become the legal source of truth</w:t>
            </w:r>
          </w:p>
        </w:tc>
      </w:tr>
      <w:tr>
        <w:tc>
          <w:tcPr>
            <w:tcW w:type="dxa" w:w="1500"/>
            <w:tcMar>
              <w:top w:type="dxa" w:w="80"/>
              <w:left w:type="dxa" w:w="110"/>
              <w:bottom w:type="dxa" w:w="80"/>
              <w:right w:type="dxa" w:w="110"/>
            </w:tcMar>
          </w:tcPr>
          <w:p>
            <w:r>
              <w:rPr>
                <w:b w:val="false"/>
                <w:bCs w:val="false"/>
                <w:color w:val="222222"/>
                <w:sz w:val="19"/>
                <w:szCs w:val="19"/>
              </w:rPr>
              <w:t xml:space="preserve">Primary</w:t>
            </w:r>
          </w:p>
        </w:tc>
        <w:tc>
          <w:tcPr>
            <w:tcW w:type="dxa" w:w="3200"/>
            <w:tcMar>
              <w:top w:type="dxa" w:w="80"/>
              <w:left w:type="dxa" w:w="110"/>
              <w:bottom w:type="dxa" w:w="80"/>
              <w:right w:type="dxa" w:w="110"/>
            </w:tcMar>
          </w:tcPr>
          <w:p>
            <w:r>
              <w:rPr>
                <w:b w:val="false"/>
                <w:bCs w:val="false"/>
                <w:color w:val="222222"/>
                <w:sz w:val="19"/>
                <w:szCs w:val="19"/>
              </w:rPr>
              <w:t xml:space="preserve">District Land Records Officer / Collector</w:t>
            </w:r>
          </w:p>
        </w:tc>
        <w:tc>
          <w:tcPr>
            <w:tcW w:type="dxa" w:w="4650"/>
            <w:tcMar>
              <w:top w:type="dxa" w:w="80"/>
              <w:left w:type="dxa" w:w="110"/>
              <w:bottom w:type="dxa" w:w="80"/>
              <w:right w:type="dxa" w:w="110"/>
            </w:tcMar>
          </w:tcPr>
          <w:p>
            <w:r>
              <w:rPr>
                <w:b w:val="false"/>
                <w:bCs w:val="false"/>
                <w:color w:val="222222"/>
                <w:sz w:val="19"/>
                <w:szCs w:val="19"/>
              </w:rPr>
              <w:t xml:space="preserve">Needs visibility into digitization progress, backlog, and error rates across villages/tehsils</w:t>
            </w:r>
          </w:p>
        </w:tc>
      </w:tr>
      <w:tr>
        <w:tc>
          <w:tcPr>
            <w:tcW w:type="dxa" w:w="1500"/>
            <w:shd w:fill="EAF1EF" w:val="clear"/>
            <w:tcMar>
              <w:top w:type="dxa" w:w="80"/>
              <w:left w:type="dxa" w:w="110"/>
              <w:bottom w:type="dxa" w:w="80"/>
              <w:right w:type="dxa" w:w="110"/>
            </w:tcMar>
          </w:tcPr>
          <w:p>
            <w:r>
              <w:rPr>
                <w:b w:val="false"/>
                <w:bCs w:val="false"/>
                <w:color w:val="222222"/>
                <w:sz w:val="19"/>
                <w:szCs w:val="19"/>
              </w:rPr>
              <w:t xml:space="preserve">Secondary</w:t>
            </w:r>
          </w:p>
        </w:tc>
        <w:tc>
          <w:tcPr>
            <w:tcW w:type="dxa" w:w="3200"/>
            <w:shd w:fill="EAF1EF" w:val="clear"/>
            <w:tcMar>
              <w:top w:type="dxa" w:w="80"/>
              <w:left w:type="dxa" w:w="110"/>
              <w:bottom w:type="dxa" w:w="80"/>
              <w:right w:type="dxa" w:w="110"/>
            </w:tcMar>
          </w:tcPr>
          <w:p>
            <w:r>
              <w:rPr>
                <w:b w:val="false"/>
                <w:bCs w:val="false"/>
                <w:color w:val="222222"/>
                <w:sz w:val="19"/>
                <w:szCs w:val="19"/>
              </w:rPr>
              <w:t xml:space="preserve">DILRMP / NIC / State IT Cell</w:t>
            </w:r>
          </w:p>
        </w:tc>
        <w:tc>
          <w:tcPr>
            <w:tcW w:type="dxa" w:w="4650"/>
            <w:shd w:fill="EAF1EF" w:val="clear"/>
            <w:tcMar>
              <w:top w:type="dxa" w:w="80"/>
              <w:left w:type="dxa" w:w="110"/>
              <w:bottom w:type="dxa" w:w="80"/>
              <w:right w:type="dxa" w:w="110"/>
            </w:tcMar>
          </w:tcPr>
          <w:p>
            <w:r>
              <w:rPr>
                <w:b w:val="false"/>
                <w:bCs w:val="false"/>
                <w:color w:val="222222"/>
                <w:sz w:val="19"/>
                <w:szCs w:val="19"/>
              </w:rPr>
              <w:t xml:space="preserve">Owns the LRMS/DILRMP database the digitized records must ultimately integrate with; cares about data format, security, and residency</w:t>
            </w:r>
          </w:p>
        </w:tc>
      </w:tr>
      <w:tr>
        <w:tc>
          <w:tcPr>
            <w:tcW w:type="dxa" w:w="1500"/>
            <w:tcMar>
              <w:top w:type="dxa" w:w="80"/>
              <w:left w:type="dxa" w:w="110"/>
              <w:bottom w:type="dxa" w:w="80"/>
              <w:right w:type="dxa" w:w="110"/>
            </w:tcMar>
          </w:tcPr>
          <w:p>
            <w:r>
              <w:rPr>
                <w:b w:val="false"/>
                <w:bCs w:val="false"/>
                <w:color w:val="222222"/>
                <w:sz w:val="19"/>
                <w:szCs w:val="19"/>
              </w:rPr>
              <w:t xml:space="preserve">Secondary</w:t>
            </w:r>
          </w:p>
        </w:tc>
        <w:tc>
          <w:tcPr>
            <w:tcW w:type="dxa" w:w="3200"/>
            <w:tcMar>
              <w:top w:type="dxa" w:w="80"/>
              <w:left w:type="dxa" w:w="110"/>
              <w:bottom w:type="dxa" w:w="80"/>
              <w:right w:type="dxa" w:w="110"/>
            </w:tcMar>
          </w:tcPr>
          <w:p>
            <w:r>
              <w:rPr>
                <w:b w:val="false"/>
                <w:bCs w:val="false"/>
                <w:color w:val="222222"/>
                <w:sz w:val="19"/>
                <w:szCs w:val="19"/>
              </w:rPr>
              <w:t xml:space="preserve">Citizens / landowners</w:t>
            </w:r>
          </w:p>
        </w:tc>
        <w:tc>
          <w:tcPr>
            <w:tcW w:type="dxa" w:w="4650"/>
            <w:tcMar>
              <w:top w:type="dxa" w:w="80"/>
              <w:left w:type="dxa" w:w="110"/>
              <w:bottom w:type="dxa" w:w="80"/>
              <w:right w:type="dxa" w:w="110"/>
            </w:tcMar>
          </w:tcPr>
          <w:p>
            <w:r>
              <w:rPr>
                <w:b w:val="false"/>
                <w:bCs w:val="false"/>
                <w:color w:val="222222"/>
                <w:sz w:val="19"/>
                <w:szCs w:val="19"/>
              </w:rPr>
              <w:t xml:space="preserve">Indirect beneficiaries — fewer disputes, faster mutation, accurate self-service record access</w:t>
            </w:r>
          </w:p>
        </w:tc>
      </w:tr>
      <w:tr>
        <w:tc>
          <w:tcPr>
            <w:tcW w:type="dxa" w:w="1500"/>
            <w:shd w:fill="EAF1EF" w:val="clear"/>
            <w:tcMar>
              <w:top w:type="dxa" w:w="80"/>
              <w:left w:type="dxa" w:w="110"/>
              <w:bottom w:type="dxa" w:w="80"/>
              <w:right w:type="dxa" w:w="110"/>
            </w:tcMar>
          </w:tcPr>
          <w:p>
            <w:r>
              <w:rPr>
                <w:b w:val="false"/>
                <w:bCs w:val="false"/>
                <w:color w:val="222222"/>
                <w:sz w:val="19"/>
                <w:szCs w:val="19"/>
              </w:rPr>
              <w:t xml:space="preserve">Secondary</w:t>
            </w:r>
          </w:p>
        </w:tc>
        <w:tc>
          <w:tcPr>
            <w:tcW w:type="dxa" w:w="3200"/>
            <w:shd w:fill="EAF1EF" w:val="clear"/>
            <w:tcMar>
              <w:top w:type="dxa" w:w="80"/>
              <w:left w:type="dxa" w:w="110"/>
              <w:bottom w:type="dxa" w:w="80"/>
              <w:right w:type="dxa" w:w="110"/>
            </w:tcMar>
          </w:tcPr>
          <w:p>
            <w:r>
              <w:rPr>
                <w:b w:val="false"/>
                <w:bCs w:val="false"/>
                <w:color w:val="222222"/>
                <w:sz w:val="19"/>
                <w:szCs w:val="19"/>
              </w:rPr>
              <w:t xml:space="preserve">Banks, courts, researchers</w:t>
            </w:r>
          </w:p>
        </w:tc>
        <w:tc>
          <w:tcPr>
            <w:tcW w:type="dxa" w:w="4650"/>
            <w:shd w:fill="EAF1EF" w:val="clear"/>
            <w:tcMar>
              <w:top w:type="dxa" w:w="80"/>
              <w:left w:type="dxa" w:w="110"/>
              <w:bottom w:type="dxa" w:w="80"/>
              <w:right w:type="dxa" w:w="110"/>
            </w:tcMar>
          </w:tcPr>
          <w:p>
            <w:r>
              <w:rPr>
                <w:b w:val="false"/>
                <w:bCs w:val="false"/>
                <w:color w:val="222222"/>
                <w:sz w:val="19"/>
                <w:szCs w:val="19"/>
              </w:rPr>
              <w:t xml:space="preserve">Consume digitized records for loans, litigation, and land-use research</w:t>
            </w:r>
          </w:p>
        </w:tc>
      </w:tr>
    </w:tbl>
    <w:p>
      <w:pPr>
        <w:pStyle w:val="Heading2"/>
        <w:spacing w:after="120" w:before="260"/>
      </w:pPr>
      <w:r>
        <w:rPr>
          <w:b/>
          <w:bCs/>
          <w:color w:val="0F6B5C"/>
          <w:sz w:val="24"/>
          <w:szCs w:val="24"/>
        </w:rPr>
        <w:t xml:space="preserve">1.4 Hidden requirements and constraints in the PS</w:t>
      </w:r>
    </w:p>
    <w:p>
      <w:pPr>
        <w:spacing w:after="140" w:line="300"/>
      </w:pPr>
      <w:r>
        <w:rPr>
          <w:color w:val="222222"/>
          <w:sz w:val="21"/>
          <w:szCs w:val="21"/>
        </w:rPr>
        <w:t xml:space="preserve">A few things are implied rather than stated outright, and they materially change the design:</w:t>
      </w:r>
    </w:p>
    <w:p>
      <w:pPr>
        <w:pStyle w:val="ListParagraph"/>
        <w:numPr>
          <w:ilvl w:val="0"/>
          <w:numId w:val="2"/>
        </w:numPr>
        <w:spacing w:after="80" w:line="290"/>
      </w:pPr>
      <w:r>
        <w:rPr>
          <w:b/>
          <w:bCs/>
          <w:sz w:val="21"/>
          <w:szCs w:val="21"/>
        </w:rPr>
        <w:t xml:space="preserve">This is an augmentation layer, not a replacement system: </w:t>
      </w:r>
      <w:r>
        <w:rPr>
          <w:sz w:val="21"/>
          <w:szCs w:val="21"/>
        </w:rPr>
        <w:t xml:space="preserve">the PS explicitly asks for integration with LRMS, DILRMP, and GIS — the product must sit in front of / alongside these systems, not attempt to become a new land records database of record.</w:t>
      </w:r>
    </w:p>
    <w:p>
      <w:pPr>
        <w:pStyle w:val="ListParagraph"/>
        <w:numPr>
          <w:ilvl w:val="0"/>
          <w:numId w:val="2"/>
        </w:numPr>
        <w:spacing w:after="80" w:line="290"/>
      </w:pPr>
      <w:r>
        <w:rPr>
          <w:b/>
          <w:bCs/>
          <w:sz w:val="21"/>
          <w:szCs w:val="21"/>
        </w:rPr>
        <w:t xml:space="preserve">Legal defensibility matters more than raw automation rate: </w:t>
      </w:r>
      <w:r>
        <w:rPr>
          <w:sz w:val="21"/>
          <w:szCs w:val="21"/>
        </w:rPr>
        <w:t xml:space="preserve">a wrongly “corrected” survey number can trigger real disputes. The system must never silently auto-overwrite a field with a low-confidence AI guess — it must flag, and require a human sign-off, keeping the original scan immutable as evidence.</w:t>
      </w:r>
    </w:p>
    <w:p>
      <w:pPr>
        <w:pStyle w:val="ListParagraph"/>
        <w:numPr>
          <w:ilvl w:val="0"/>
          <w:numId w:val="2"/>
        </w:numPr>
        <w:spacing w:after="80" w:line="290"/>
      </w:pPr>
      <w:r>
        <w:rPr>
          <w:b/>
          <w:bCs/>
          <w:sz w:val="21"/>
          <w:szCs w:val="21"/>
        </w:rPr>
        <w:t xml:space="preserve">Data residency and sensitivity: </w:t>
      </w:r>
      <w:r>
        <w:rPr>
          <w:sz w:val="21"/>
          <w:szCs w:val="21"/>
        </w:rPr>
        <w:t xml:space="preserve">land ownership data is government revenue data; the PS's own tech suggestion (NIC Cloud / MeghRaj, or Azure Government Cloud) signals that sending scans to generic third-party multinational AI APIs is likely unacceptable for a production version, even if convenient for a hackathon demo.</w:t>
      </w:r>
    </w:p>
    <w:p>
      <w:pPr>
        <w:pStyle w:val="ListParagraph"/>
        <w:numPr>
          <w:ilvl w:val="0"/>
          <w:numId w:val="2"/>
        </w:numPr>
        <w:spacing w:after="80" w:line="290"/>
      </w:pPr>
      <w:r>
        <w:rPr>
          <w:b/>
          <w:bCs/>
          <w:sz w:val="21"/>
          <w:szCs w:val="21"/>
        </w:rPr>
        <w:t xml:space="preserve">Multilingual is a hard requirement, not a nice-to-have: </w:t>
      </w:r>
      <w:r>
        <w:rPr>
          <w:sz w:val="21"/>
          <w:szCs w:val="21"/>
        </w:rPr>
        <w:t xml:space="preserve">“multiple Indian languages” and handwriting recognition together is one of the harder open problems in Indian document AI — the PRD should be honest about this rather than promising a fully solved, 100%-automated pipeline.</w:t>
      </w:r>
    </w:p>
    <w:p>
      <w:pPr>
        <w:pStyle w:val="ListParagraph"/>
        <w:numPr>
          <w:ilvl w:val="0"/>
          <w:numId w:val="2"/>
        </w:numPr>
        <w:spacing w:after="80" w:line="290"/>
      </w:pPr>
      <w:r>
        <w:rPr>
          <w:b/>
          <w:bCs/>
          <w:sz w:val="21"/>
          <w:szCs w:val="21"/>
        </w:rPr>
        <w:t xml:space="preserve">Human-in-the-loop is explicitly asked for: </w:t>
      </w:r>
      <w:r>
        <w:rPr>
          <w:sz w:val="21"/>
          <w:szCs w:val="21"/>
        </w:rPr>
        <w:t xml:space="preserve">the PS itself calls out confidence scoring and a human-assisted verification workflow — this is a strong signal that judges expect a realistic, human+AI hybrid, not a black-box “fully automatic” claim.</w:t>
      </w:r>
    </w:p>
    <w:p>
      <w:pPr>
        <w:pStyle w:val="Heading1"/>
        <w:pBdr>
          <w:bottom w:val="single" w:color="1F3864" w:sz="6" w:space="4"/>
        </w:pBdr>
        <w:spacing w:after="160" w:before="380"/>
      </w:pPr>
      <w:r>
        <w:rPr>
          <w:b/>
          <w:bCs/>
          <w:color w:val="1F3864"/>
          <w:sz w:val="30"/>
          <w:szCs w:val="30"/>
        </w:rPr>
        <w:t xml:space="preserve">2. Existing Solutions &amp; Competitive Research</w:t>
      </w:r>
    </w:p>
    <w:p>
      <w:pPr>
        <w:spacing w:after="140" w:line="300"/>
      </w:pPr>
      <w:r>
        <w:rPr>
          <w:color w:val="222222"/>
          <w:sz w:val="21"/>
          <w:szCs w:val="21"/>
        </w:rPr>
        <w:t xml:space="preserve">The instruction was not to claim innovation without comparison, so this section is deliberately evidence-based. Where a specific reference could not be independently verified, that is stated rather than guessed.</w:t>
      </w:r>
    </w:p>
    <w:p>
      <w:pPr>
        <w:pStyle w:val="Heading2"/>
        <w:spacing w:after="120" w:before="260"/>
      </w:pPr>
      <w:r>
        <w:rPr>
          <w:b/>
          <w:bCs/>
          <w:color w:val="0F6B5C"/>
          <w:sz w:val="24"/>
          <w:szCs w:val="24"/>
        </w:rPr>
        <w:t xml:space="preserve">2.1 Government digitization &amp; access portals (DILRMP ecosystem)</w:t>
      </w:r>
    </w:p>
    <w:p>
      <w:pPr>
        <w:spacing w:after="140" w:line="300"/>
      </w:pPr>
      <w:r>
        <w:rPr>
          <w:color w:val="222222"/>
          <w:sz w:val="21"/>
          <w:szCs w:val="21"/>
        </w:rPr>
        <w:t xml:space="preserve">Bhulekh / Bhu Abhilekh state portals (e.g., Uttar Pradesh's Bhulekh, launched 2 May 2016, and equivalents in most states) are the citizen-facing outcome of the Digital India Land Records Modernization Programme. They let citizens search Khasra, Khatauni, ownership, and mutation details online, and were built to increase transparency and cut fraud in land transactions.</w:t>
      </w:r>
    </w:p>
    <w:p>
      <w:pPr>
        <w:spacing w:after="140" w:line="300"/>
      </w:pPr>
      <w:r>
        <w:rPr>
          <w:color w:val="222222"/>
          <w:sz w:val="21"/>
          <w:szCs w:val="21"/>
        </w:rPr>
        <w:t xml:space="preserve">What this tells us: DILRMP's last decade of work has mostly been (a) building state-wise search/access portals and (b) manually re-keying paper records into those databases over many years. There is no publicly documented AI/OCR extraction layer in this stack — the “digitization” in DILRMP so far has largely meant manual data entry, not automated document understanding. This is precisely the gap SIH26018 is asking to close.</w:t>
      </w:r>
    </w:p>
    <w:p>
      <w:pPr>
        <w:pStyle w:val="Heading2"/>
        <w:spacing w:after="120" w:before="260"/>
      </w:pPr>
      <w:r>
        <w:rPr>
          <w:b/>
          <w:bCs/>
          <w:color w:val="0F6B5C"/>
          <w:sz w:val="24"/>
          <w:szCs w:val="24"/>
        </w:rPr>
        <w:t xml:space="preserve">2.2 Open-source and research building blocks</w:t>
      </w:r>
    </w:p>
    <w:p>
      <w:pPr>
        <w:pStyle w:val="ListParagraph"/>
        <w:numPr>
          <w:ilvl w:val="0"/>
          <w:numId w:val="2"/>
        </w:numPr>
        <w:spacing w:after="80" w:line="290"/>
      </w:pPr>
      <w:r>
        <w:rPr>
          <w:b/>
          <w:bCs/>
          <w:sz w:val="21"/>
          <w:szCs w:val="21"/>
        </w:rPr>
        <w:t xml:space="preserve">openbharatocr (PyPI/open-source): </w:t>
      </w:r>
      <w:r>
        <w:rPr>
          <w:sz w:val="21"/>
          <w:szCs w:val="21"/>
        </w:rPr>
        <w:t xml:space="preserve">an open-source Python OCR library specifically for Indian government documents (PAN, Aadhaar, driving licence). It proves there is an OSS ecosystem for Indian-document OCR, but it is scoped to fixed-layout identity cards, not the free-form, tabular, multi-lingual, often handwritten layouts of khasra/khatauni registers — it is a useful component reference, not a ready-made solution.</w:t>
      </w:r>
    </w:p>
    <w:p>
      <w:pPr>
        <w:pStyle w:val="ListParagraph"/>
        <w:numPr>
          <w:ilvl w:val="0"/>
          <w:numId w:val="2"/>
        </w:numPr>
        <w:spacing w:after="80" w:line="290"/>
      </w:pPr>
      <w:r>
        <w:rPr>
          <w:b/>
          <w:bCs/>
          <w:sz w:val="21"/>
          <w:szCs w:val="21"/>
        </w:rPr>
        <w:t xml:space="preserve">Academic proof-of-concept — Hybrid AI + Blockchain land-record validation (ETASR journal): </w:t>
      </w:r>
      <w:r>
        <w:rPr>
          <w:sz w:val="21"/>
          <w:szCs w:val="21"/>
        </w:rPr>
        <w:t xml:space="preserve">a published paper proposes combining OCR, Named Entity Recognition, and anomaly detection to validate land records before writing them to a blockchain ledger, explicitly citing multilingual OCR and geospatial verification as future work. This validates the OCR+NLP+validation pipeline shape recommended below, but it remains a research prototype (not a deployed government system) and bundles in a blockchain ledger that is not required by the PS.</w:t>
      </w:r>
    </w:p>
    <w:p>
      <w:pPr>
        <w:pStyle w:val="ListParagraph"/>
        <w:numPr>
          <w:ilvl w:val="0"/>
          <w:numId w:val="2"/>
        </w:numPr>
        <w:spacing w:after="80" w:line="290"/>
      </w:pPr>
      <w:r>
        <w:rPr>
          <w:b/>
          <w:bCs/>
          <w:sz w:val="21"/>
          <w:szCs w:val="21"/>
        </w:rPr>
        <w:t xml:space="preserve">GitHub blockchain land-registry projects (Ethereum/Hyperledger, e.g. student projects like Decentralized-Land-Registry-Management-System, Land-Registration-with-Blockchain, LRS): </w:t>
      </w:r>
      <w:r>
        <w:rPr>
          <w:sz w:val="21"/>
          <w:szCs w:val="21"/>
        </w:rPr>
        <w:t xml:space="preserve">numerous hobby/academic repos exist that reinvent land title transfer as a blockchain dApp (buyer/seller/inspector workflow, smart contracts). None of the ones found address the actual ask in SIH26018 — extracting structured data from a legacy scanned/handwritten backlog. They solve a different problem (tamper-proof transaction ledgers for new transfers), which is worth knowing so the team doesn't accidentally build “yet another land blockchain” instead of a digitization tool.</w:t>
      </w:r>
    </w:p>
    <w:p>
      <w:pPr>
        <w:pStyle w:val="Heading2"/>
        <w:spacing w:after="120" w:before="260"/>
      </w:pPr>
      <w:r>
        <w:rPr>
          <w:b/>
          <w:bCs/>
          <w:color w:val="0F6B5C"/>
          <w:sz w:val="24"/>
          <w:szCs w:val="24"/>
        </w:rPr>
        <w:t xml:space="preserve">2.3 Adjacent commercial product</w:t>
      </w:r>
    </w:p>
    <w:p>
      <w:pPr>
        <w:spacing w:after="140" w:line="300"/>
      </w:pPr>
      <w:r>
        <w:rPr>
          <w:color w:val="222222"/>
          <w:sz w:val="21"/>
          <w:szCs w:val="21"/>
        </w:rPr>
        <w:t xml:space="preserve">Landeed, a YC-backed Indian startup, positions itself as “AI-native digital infrastructure for property intelligence, verification, and transactions,” reporting coverage across 24 states/UTs and over a million users, with multilingual support across roughly a dozen vernacular languages. Its stated approach converts already-existing, fragmented, multi-source government records into structured, queryable data for due diligence, title search, and utility-bill payments — i.e., it consumes and re-packages state records after they exist digitally somewhere, for citizens and BFSI/enterprise customers.</w:t>
      </w:r>
    </w:p>
    <w:p>
      <w:pPr>
        <w:spacing w:after="140" w:line="300"/>
      </w:pPr>
      <w:r>
        <w:rPr>
          <w:color w:val="222222"/>
          <w:sz w:val="21"/>
          <w:szCs w:val="21"/>
        </w:rPr>
        <w:t xml:space="preserve">Gap versus SIH26018: Landeed's public description centres on aggregating and verifying records that are already in some digital form across state systems, and on citizen/enterprise-facing property intelligence — not on the government back-office task of extracting data from physical, scanned, or handwritten legacy archives that were never digitized in the first place. It is the closest commercial analogue in spirit, but it is not solving the same problem this PS is asking for.</w:t>
      </w:r>
    </w:p>
    <w:p>
      <w:pPr>
        <w:pStyle w:val="Heading2"/>
        <w:spacing w:after="120" w:before="260"/>
      </w:pPr>
      <w:r>
        <w:rPr>
          <w:b/>
          <w:bCs/>
          <w:color w:val="0F6B5C"/>
          <w:sz w:val="24"/>
          <w:szCs w:val="24"/>
        </w:rPr>
        <w:t xml:space="preserve">2.4 The user-supplied reference (abhilekhsetu.onrender.com)</w:t>
      </w:r>
    </w:p>
    <w:p>
      <w:pPr>
        <w:spacing w:after="140" w:line="300"/>
      </w:pPr>
      <w:r>
        <w:rPr>
          <w:color w:val="222222"/>
          <w:sz w:val="21"/>
          <w:szCs w:val="21"/>
        </w:rPr>
        <w:t xml:space="preserve">This reference site was checked directly; it disallows automated crawling via its robots.txt, so its interface, architecture, and workflow could not be verified from here. A search for an associated public GitHub repository under this name did not surface one. Rather than guess at its feature set, the recommendation is: manually screen-record or screenshot its key flows (upload screen, extraction result view, review/verification screen, dashboard) and drop them into the next working session — a side-by-side teardown can then be done accurately instead of speculatively. If it turns out to be another SIH team's submission for the same PS, the useful thing to extract from it is UX patterns (how it presents confidence, how the review queue looks), not architecture claims that can't be confirmed.</w:t>
      </w:r>
    </w:p>
    <w:p>
      <w:pPr>
        <w:pStyle w:val="Heading2"/>
        <w:spacing w:after="120" w:before="260"/>
      </w:pPr>
      <w:r>
        <w:rPr>
          <w:b/>
          <w:bCs/>
          <w:color w:val="0F6B5C"/>
          <w:sz w:val="24"/>
          <w:szCs w:val="24"/>
        </w:rPr>
        <w:t xml:space="preserve">2.5 Net gap and where VeriBhoomi AI should differentiate</w:t>
      </w:r>
    </w:p>
    <w:p>
      <w:pPr>
        <w:spacing w:after="140" w:line="300"/>
      </w:pPr>
      <w:r>
        <w:rPr>
          <w:color w:val="222222"/>
          <w:sz w:val="21"/>
          <w:szCs w:val="21"/>
        </w:rPr>
        <w:t xml:space="preserve">Across everything reviewed, no publicly documented solution combines all of: (a) OCR/CV tuned for legacy scanned and handwritten multi-script land registers specifically, (b) field-level confidence scoring with a human review queue rather than a black-box output, (c) a validation engine that cross-checks against master village/tehsil/district and duplicate records before anything is finalized, (d) an architecture designed from day one to sit in front of existing LRMS/DILRMP/GIS systems rather than replace them, and (e) an audit trail built for legal defensibility of government revenue records. That combination — a digitization back-office copilot, not a citizen search portal and not a blockchain re-implementation — is the defensible position for this product.</w:t>
      </w:r>
    </w:p>
    <w:p>
      <w:pPr>
        <w:pStyle w:val="Heading1"/>
        <w:pBdr>
          <w:bottom w:val="single" w:color="1F3864" w:sz="6" w:space="4"/>
        </w:pBdr>
        <w:spacing w:after="160" w:before="380"/>
      </w:pPr>
      <w:r>
        <w:rPr>
          <w:b/>
          <w:bCs/>
          <w:color w:val="1F3864"/>
          <w:sz w:val="30"/>
          <w:szCs w:val="30"/>
        </w:rPr>
        <w:t xml:space="preserve">3. Product Vision, Concept &amp; Strategy</w:t>
      </w:r>
    </w:p>
    <w:p>
      <w:pPr>
        <w:pStyle w:val="Heading2"/>
        <w:spacing w:after="120" w:before="260"/>
      </w:pPr>
      <w:r>
        <w:rPr>
          <w:b/>
          <w:bCs/>
          <w:color w:val="0F6B5C"/>
          <w:sz w:val="24"/>
          <w:szCs w:val="24"/>
        </w:rPr>
        <w:t xml:space="preserve">3.1 Vision statement</w:t>
      </w:r>
    </w:p>
    <w:p>
      <w:pPr>
        <w:spacing w:after="140" w:line="300"/>
      </w:pPr>
      <w:r>
        <w:rPr>
          <w:i/>
          <w:iCs/>
          <w:sz w:val="22"/>
          <w:szCs w:val="22"/>
        </w:rPr>
        <w:t xml:space="preserve">VeriBhoomi AI turns a revenue department's paper and scanned land-record backlog into a verified, structured, audit-ready digital dataset — by pairing OCR/NLP extraction with a human-in-the-loop review workflow, so no record enters the system of record without a confidence score and a human sign-off.</w:t>
      </w:r>
    </w:p>
    <w:p>
      <w:pPr>
        <w:pStyle w:val="Heading2"/>
        <w:spacing w:after="120" w:before="260"/>
      </w:pPr>
      <w:r>
        <w:rPr>
          <w:b/>
          <w:bCs/>
          <w:color w:val="0F6B5C"/>
          <w:sz w:val="24"/>
          <w:szCs w:val="24"/>
        </w:rPr>
        <w:t xml:space="preserve">3.2 Positioning</w:t>
      </w:r>
    </w:p>
    <w:p>
      <w:pPr>
        <w:spacing w:after="140" w:line="300"/>
      </w:pPr>
      <w:r>
        <w:rPr>
          <w:color w:val="222222"/>
          <w:sz w:val="21"/>
          <w:szCs w:val="21"/>
        </w:rPr>
        <w:t xml:space="preserve">VeriBhoomi AI is not a competitor to Bhulekh/Bhu Abhilekh (those are citizen-facing search portals over already-digitized data) and it is not a blockchain land-transfer ledger. It is positioned as the missing back-office layer: a digitization factory that a District Land Records Office or an outsourced digitization vendor uses to process a batch of scanned registers, and that hands off clean, validated, source-linked records to whatever LRMS/DILRMP/GIS system the state already runs.</w:t>
      </w:r>
    </w:p>
    <w:p>
      <w:pPr>
        <w:pStyle w:val="Heading2"/>
        <w:spacing w:after="120" w:before="260"/>
      </w:pPr>
      <w:r>
        <w:rPr>
          <w:b/>
          <w:bCs/>
          <w:color w:val="0F6B5C"/>
          <w:sz w:val="24"/>
          <w:szCs w:val="24"/>
        </w:rPr>
        <w:t xml:space="preserve">3.3 Target users</w:t>
      </w:r>
    </w:p>
    <w:p>
      <w:pPr>
        <w:pStyle w:val="ListParagraph"/>
        <w:numPr>
          <w:ilvl w:val="0"/>
          <w:numId w:val="2"/>
        </w:numPr>
        <w:spacing w:after="80" w:line="290"/>
      </w:pPr>
      <w:r>
        <w:rPr>
          <w:sz w:val="21"/>
          <w:szCs w:val="21"/>
        </w:rPr>
        <w:t xml:space="preserve">Data Entry Operators / Patwari at digitization centres (primary daily users)</w:t>
      </w:r>
    </w:p>
    <w:p>
      <w:pPr>
        <w:pStyle w:val="ListParagraph"/>
        <w:numPr>
          <w:ilvl w:val="0"/>
          <w:numId w:val="2"/>
        </w:numPr>
        <w:spacing w:after="80" w:line="290"/>
      </w:pPr>
      <w:r>
        <w:rPr>
          <w:sz w:val="21"/>
          <w:szCs w:val="21"/>
        </w:rPr>
        <w:t xml:space="preserve">Revenue Officers / Tehsildars (verification &amp; approval)</w:t>
      </w:r>
    </w:p>
    <w:p>
      <w:pPr>
        <w:pStyle w:val="ListParagraph"/>
        <w:numPr>
          <w:ilvl w:val="0"/>
          <w:numId w:val="2"/>
        </w:numPr>
        <w:spacing w:after="80" w:line="290"/>
      </w:pPr>
      <w:r>
        <w:rPr>
          <w:sz w:val="21"/>
          <w:szCs w:val="21"/>
        </w:rPr>
        <w:t xml:space="preserve">District Land Records Officers / Collectors (monitoring &amp; reporting)</w:t>
      </w:r>
    </w:p>
    <w:p>
      <w:pPr>
        <w:pStyle w:val="ListParagraph"/>
        <w:numPr>
          <w:ilvl w:val="0"/>
          <w:numId w:val="2"/>
        </w:numPr>
        <w:spacing w:after="80" w:line="290"/>
      </w:pPr>
      <w:r>
        <w:rPr>
          <w:sz w:val="21"/>
          <w:szCs w:val="21"/>
        </w:rPr>
        <w:t xml:space="preserve">DILRMP / NIC / State IT integration teams (API consumers)</w:t>
      </w:r>
    </w:p>
    <w:p>
      <w:pPr>
        <w:pStyle w:val="ListParagraph"/>
        <w:numPr>
          <w:ilvl w:val="0"/>
          <w:numId w:val="2"/>
        </w:numPr>
        <w:spacing w:after="80" w:line="290"/>
      </w:pPr>
      <w:r>
        <w:rPr>
          <w:sz w:val="21"/>
          <w:szCs w:val="21"/>
        </w:rPr>
        <w:t xml:space="preserve">Citizens and downstream consumers such as banks and courts (indirect beneficiaries of cleaner data)</w:t>
      </w:r>
    </w:p>
    <w:p>
      <w:pPr>
        <w:pStyle w:val="Heading2"/>
        <w:spacing w:after="120" w:before="260"/>
      </w:pPr>
      <w:r>
        <w:rPr>
          <w:b/>
          <w:bCs/>
          <w:color w:val="0F6B5C"/>
          <w:sz w:val="24"/>
          <w:szCs w:val="24"/>
        </w:rPr>
        <w:t xml:space="preserve">3.4 Core features (with USP)</w:t>
      </w:r>
    </w:p>
    <w:p>
      <w:pPr>
        <w:pStyle w:val="ListParagraph"/>
        <w:numPr>
          <w:ilvl w:val="0"/>
          <w:numId w:val="2"/>
        </w:numPr>
        <w:spacing w:after="80" w:line="290"/>
      </w:pPr>
      <w:r>
        <w:rPr>
          <w:b/>
          <w:bCs/>
          <w:sz w:val="21"/>
          <w:szCs w:val="21"/>
        </w:rPr>
        <w:t xml:space="preserve">Multi-format ingestion: </w:t>
      </w:r>
      <w:r>
        <w:rPr>
          <w:sz w:val="21"/>
          <w:szCs w:val="21"/>
        </w:rPr>
        <w:t xml:space="preserve">bulk upload of scanned registers, images, and legacy PDFs, with automatic pre-processing (deskew, denoise, page/table detection).</w:t>
      </w:r>
    </w:p>
    <w:p>
      <w:pPr>
        <w:pStyle w:val="ListParagraph"/>
        <w:numPr>
          <w:ilvl w:val="0"/>
          <w:numId w:val="2"/>
        </w:numPr>
        <w:spacing w:after="80" w:line="290"/>
      </w:pPr>
      <w:r>
        <w:rPr>
          <w:b/>
          <w:bCs/>
          <w:sz w:val="21"/>
          <w:szCs w:val="21"/>
        </w:rPr>
        <w:t xml:space="preserve">Multilingual OCR (printed + handwritten): </w:t>
      </w:r>
      <w:r>
        <w:rPr>
          <w:sz w:val="21"/>
          <w:szCs w:val="21"/>
        </w:rPr>
        <w:t xml:space="preserve">recognizes typed and handwritten text in the prototype's target scripts (recommend starting with Hindi/Devanagari + English, expanding by roadmap), including old-format registers.</w:t>
      </w:r>
    </w:p>
    <w:p>
      <w:pPr>
        <w:pStyle w:val="ListParagraph"/>
        <w:numPr>
          <w:ilvl w:val="0"/>
          <w:numId w:val="2"/>
        </w:numPr>
        <w:spacing w:after="80" w:line="290"/>
      </w:pPr>
      <w:r>
        <w:rPr>
          <w:b/>
          <w:bCs/>
          <w:sz w:val="21"/>
          <w:szCs w:val="21"/>
        </w:rPr>
        <w:t xml:space="preserve">Field-level intelligent classification: </w:t>
      </w:r>
      <w:r>
        <w:rPr>
          <w:sz w:val="21"/>
          <w:szCs w:val="21"/>
        </w:rPr>
        <w:t xml:space="preserve">extracted text is mapped into the predefined schema — owner name, survey/khasra/khata number, plot area, village/tehsil/district, land classification, mutation and registration details.</w:t>
      </w:r>
    </w:p>
    <w:p>
      <w:pPr>
        <w:pStyle w:val="ListParagraph"/>
        <w:numPr>
          <w:ilvl w:val="0"/>
          <w:numId w:val="2"/>
        </w:numPr>
        <w:spacing w:after="80" w:line="290"/>
      </w:pPr>
      <w:r>
        <w:rPr>
          <w:b/>
          <w:bCs/>
          <w:sz w:val="21"/>
          <w:szCs w:val="21"/>
        </w:rPr>
        <w:t xml:space="preserve">USP — confidence scoring + review queue, not a black box: </w:t>
      </w:r>
      <w:r>
        <w:rPr>
          <w:sz w:val="21"/>
          <w:szCs w:val="21"/>
        </w:rPr>
        <w:t xml:space="preserve">every extracted field carries a confidence score; anything below threshold is routed to a human reviewer with the original scan side-by-side, rather than being silently accepted or silently rejected.</w:t>
      </w:r>
    </w:p>
    <w:p>
      <w:pPr>
        <w:pStyle w:val="ListParagraph"/>
        <w:numPr>
          <w:ilvl w:val="0"/>
          <w:numId w:val="2"/>
        </w:numPr>
        <w:spacing w:after="80" w:line="290"/>
      </w:pPr>
      <w:r>
        <w:rPr>
          <w:b/>
          <w:bCs/>
          <w:sz w:val="21"/>
          <w:szCs w:val="21"/>
        </w:rPr>
        <w:t xml:space="preserve">Validation engine: </w:t>
      </w:r>
      <w:r>
        <w:rPr>
          <w:sz w:val="21"/>
          <w:szCs w:val="21"/>
        </w:rPr>
        <w:t xml:space="preserve">business-rule checks (valid ranges, mandatory fields), duplicate detection, and cross-checks against a master village/tehsil/district gazetteer before a record is marked final.</w:t>
      </w:r>
    </w:p>
    <w:p>
      <w:pPr>
        <w:pStyle w:val="ListParagraph"/>
        <w:numPr>
          <w:ilvl w:val="0"/>
          <w:numId w:val="2"/>
        </w:numPr>
        <w:spacing w:after="80" w:line="290"/>
      </w:pPr>
      <w:r>
        <w:rPr>
          <w:b/>
          <w:bCs/>
          <w:sz w:val="21"/>
          <w:szCs w:val="21"/>
        </w:rPr>
        <w:t xml:space="preserve">USP — augmentation, not replacement: </w:t>
      </w:r>
      <w:r>
        <w:rPr>
          <w:sz w:val="21"/>
          <w:szCs w:val="21"/>
        </w:rPr>
        <w:t xml:space="preserve">an adapter-based integration layer designed to push validated records into existing LRMS/DILRMP/GIS systems via API, instead of trying to become a new database of record.</w:t>
      </w:r>
    </w:p>
    <w:p>
      <w:pPr>
        <w:pStyle w:val="ListParagraph"/>
        <w:numPr>
          <w:ilvl w:val="0"/>
          <w:numId w:val="2"/>
        </w:numPr>
        <w:spacing w:after="80" w:line="290"/>
      </w:pPr>
      <w:r>
        <w:rPr>
          <w:b/>
          <w:bCs/>
          <w:sz w:val="21"/>
          <w:szCs w:val="21"/>
        </w:rPr>
        <w:t xml:space="preserve">Full audit trail: </w:t>
      </w:r>
      <w:r>
        <w:rPr>
          <w:sz w:val="21"/>
          <w:szCs w:val="21"/>
        </w:rPr>
        <w:t xml:space="preserve">every extraction, correction, and approval is logged against a user and timestamp, and the original scan is retained immutably alongside the structured record — this is what makes the output legally defensible.</w:t>
      </w:r>
    </w:p>
    <w:p>
      <w:pPr>
        <w:pStyle w:val="ListParagraph"/>
        <w:numPr>
          <w:ilvl w:val="0"/>
          <w:numId w:val="2"/>
        </w:numPr>
        <w:spacing w:after="80" w:line="290"/>
      </w:pPr>
      <w:r>
        <w:rPr>
          <w:b/>
          <w:bCs/>
          <w:sz w:val="21"/>
          <w:szCs w:val="21"/>
        </w:rPr>
        <w:t xml:space="preserve">Dashboards: </w:t>
      </w:r>
      <w:r>
        <w:rPr>
          <w:sz w:val="21"/>
          <w:szCs w:val="21"/>
        </w:rPr>
        <w:t xml:space="preserve">documents processed, extraction accuracy trend, pending verification, error statistics, and state/district-wise progress, for monitoring at the district/state level.</w:t>
      </w:r>
    </w:p>
    <w:p>
      <w:pPr>
        <w:pStyle w:val="ListParagraph"/>
        <w:numPr>
          <w:ilvl w:val="0"/>
          <w:numId w:val="2"/>
        </w:numPr>
        <w:spacing w:after="80" w:line="290"/>
      </w:pPr>
      <w:r>
        <w:rPr>
          <w:b/>
          <w:bCs/>
          <w:sz w:val="21"/>
          <w:szCs w:val="21"/>
        </w:rPr>
        <w:t xml:space="preserve">Active learning loop: </w:t>
      </w:r>
      <w:r>
        <w:rPr>
          <w:sz w:val="21"/>
          <w:szCs w:val="21"/>
        </w:rPr>
        <w:t xml:space="preserve">operator corrections are captured as labelled data to progressively improve extraction accuracy over time, which is a realistic and honest framing of “AI-driven learning mechanism” rather than a promise of a perfect model on day one.</w:t>
      </w:r>
    </w:p>
    <w:p>
      <w:pPr>
        <w:pStyle w:val="ListParagraph"/>
        <w:numPr>
          <w:ilvl w:val="0"/>
          <w:numId w:val="2"/>
        </w:numPr>
        <w:spacing w:after="80" w:line="290"/>
      </w:pPr>
      <w:r>
        <w:rPr>
          <w:b/>
          <w:bCs/>
          <w:sz w:val="21"/>
          <w:szCs w:val="21"/>
        </w:rPr>
        <w:t xml:space="preserve">Optional — automation layer (n8n): </w:t>
      </w:r>
      <w:r>
        <w:rPr>
          <w:sz w:val="21"/>
          <w:szCs w:val="21"/>
        </w:rPr>
        <w:t xml:space="preserve">notifications, stale-review alerts, and reporting are handled by low-code n8n workflows triggered by backend webhooks, kept outside the core FastAPI logic (see Section 6.5).</w:t>
      </w:r>
    </w:p>
    <w:p>
      <w:pPr>
        <w:pStyle w:val="Heading2"/>
        <w:spacing w:after="120" w:before="260"/>
      </w:pPr>
      <w:r>
        <w:rPr>
          <w:b/>
          <w:bCs/>
          <w:color w:val="0F6B5C"/>
          <w:sz w:val="24"/>
          <w:szCs w:val="24"/>
        </w:rPr>
        <w:t xml:space="preserve">3.5 Why users would actually adopt it</w:t>
      </w:r>
    </w:p>
    <w:p>
      <w:pPr>
        <w:pStyle w:val="ListParagraph"/>
        <w:numPr>
          <w:ilvl w:val="0"/>
          <w:numId w:val="2"/>
        </w:numPr>
        <w:spacing w:after="80" w:line="290"/>
      </w:pPr>
      <w:r>
        <w:rPr>
          <w:sz w:val="21"/>
          <w:szCs w:val="21"/>
        </w:rPr>
        <w:t xml:space="preserve">It reduces operator effort to “fix the 10-15% the system is unsure about” instead of retyping every field — a genuine time saving over the current fully manual process.</w:t>
      </w:r>
    </w:p>
    <w:p>
      <w:pPr>
        <w:pStyle w:val="ListParagraph"/>
        <w:numPr>
          <w:ilvl w:val="0"/>
          <w:numId w:val="2"/>
        </w:numPr>
        <w:spacing w:after="80" w:line="290"/>
      </w:pPr>
      <w:r>
        <w:rPr>
          <w:sz w:val="21"/>
          <w:szCs w:val="21"/>
        </w:rPr>
        <w:t xml:space="preserve">Officers keep final authority (approval step is mandatory), which respects existing legal and administrative accountability rather than trying to bypass it.</w:t>
      </w:r>
    </w:p>
    <w:p>
      <w:pPr>
        <w:pStyle w:val="ListParagraph"/>
        <w:numPr>
          <w:ilvl w:val="0"/>
          <w:numId w:val="2"/>
        </w:numPr>
        <w:spacing w:after="80" w:line="290"/>
      </w:pPr>
      <w:r>
        <w:rPr>
          <w:sz w:val="21"/>
          <w:szCs w:val="21"/>
        </w:rPr>
        <w:t xml:space="preserve">It plugs into what states already have (LRMS/DILRMP/GIS) instead of asking them to migrate to a new system — the single biggest adoption blocker for government IT is “rip and replace,” and this design avoids it.</w:t>
      </w:r>
    </w:p>
    <w:p>
      <w:pPr>
        <w:pStyle w:val="Heading2"/>
        <w:spacing w:after="120" w:before="260"/>
      </w:pPr>
      <w:r>
        <w:rPr>
          <w:b/>
          <w:bCs/>
          <w:color w:val="0F6B5C"/>
          <w:sz w:val="24"/>
          <w:szCs w:val="24"/>
        </w:rPr>
        <w:t xml:space="preserve">3.6 Expected real-world impact</w:t>
      </w:r>
    </w:p>
    <w:p>
      <w:pPr>
        <w:spacing w:after="140" w:line="300"/>
      </w:pPr>
      <w:r>
        <w:rPr>
          <w:color w:val="222222"/>
          <w:sz w:val="21"/>
          <w:szCs w:val="21"/>
        </w:rPr>
        <w:t xml:space="preserve">If adopted at a district digitization centre, the expected effect is a meaningful cut in the time and cost per digitized record compared to full manual re-keying, a reduction in transcription-type errors because ambiguous fields are flagged rather than guessed silently, and a cleaner audit trail that should reduce the administrative effort involved in resolving future ownership disputes traceable to digitization-stage mistakes. These are goals to design and measure toward during a pilot, not verified statistics — no specific percentage improvement is claimed here without a pilot to measure it.</w:t>
      </w:r>
    </w:p>
    <w:p>
      <w:pPr>
        <w:pStyle w:val="Heading1"/>
        <w:pBdr>
          <w:bottom w:val="single" w:color="1F3864" w:sz="6" w:space="4"/>
        </w:pBdr>
        <w:spacing w:after="160" w:before="380"/>
      </w:pPr>
      <w:r>
        <w:rPr>
          <w:b/>
          <w:bCs/>
          <w:color w:val="1F3864"/>
          <w:sz w:val="30"/>
          <w:szCs w:val="30"/>
        </w:rPr>
        <w:t xml:space="preserve">4. Alternative Approaches Considered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900"/>
        <w:gridCol w:w="1550"/>
      </w:tblGrid>
      <w:tr>
        <w:trPr>
          <w:tblHeader/>
        </w:trPr>
        <w:tc>
          <w:tcPr>
            <w:tcW w:type="dxa" w:w="2600"/>
            <w:shd w:fill="1F3864" w:val="clear"/>
            <w:tcMar>
              <w:top w:type="dxa" w:w="80"/>
              <w:left w:type="dxa" w:w="110"/>
              <w:bottom w:type="dxa" w:w="80"/>
              <w:right w:type="dxa" w:w="110"/>
            </w:tcMar>
          </w:tcPr>
          <w:p>
            <w:r>
              <w:rPr>
                <w:b/>
                <w:bCs/>
                <w:color w:val="FFFFFF"/>
                <w:sz w:val="19"/>
                <w:szCs w:val="19"/>
              </w:rPr>
              <w:t xml:space="preserve">Approach</w:t>
            </w:r>
          </w:p>
        </w:tc>
        <w:tc>
          <w:tcPr>
            <w:tcW w:type="dxa" w:w="2300"/>
            <w:shd w:fill="1F3864" w:val="clear"/>
            <w:tcMar>
              <w:top w:type="dxa" w:w="80"/>
              <w:left w:type="dxa" w:w="110"/>
              <w:bottom w:type="dxa" w:w="80"/>
              <w:right w:type="dxa" w:w="110"/>
            </w:tcMar>
          </w:tcPr>
          <w:p>
            <w:r>
              <w:rPr>
                <w:b/>
                <w:bCs/>
                <w:color w:val="FFFFFF"/>
                <w:sz w:val="19"/>
                <w:szCs w:val="19"/>
              </w:rPr>
              <w:t xml:space="preserve">Pros</w:t>
            </w:r>
          </w:p>
        </w:tc>
        <w:tc>
          <w:tcPr>
            <w:tcW w:type="dxa" w:w="2900"/>
            <w:shd w:fill="1F3864" w:val="clear"/>
            <w:tcMar>
              <w:top w:type="dxa" w:w="80"/>
              <w:left w:type="dxa" w:w="110"/>
              <w:bottom w:type="dxa" w:w="80"/>
              <w:right w:type="dxa" w:w="110"/>
            </w:tcMar>
          </w:tcPr>
          <w:p>
            <w:r>
              <w:rPr>
                <w:b/>
                <w:bCs/>
                <w:color w:val="FFFFFF"/>
                <w:sz w:val="19"/>
                <w:szCs w:val="19"/>
              </w:rPr>
              <w:t xml:space="preserve">Cons</w:t>
            </w:r>
          </w:p>
        </w:tc>
        <w:tc>
          <w:tcPr>
            <w:tcW w:type="dxa" w:w="1550"/>
            <w:shd w:fill="1F3864" w:val="clear"/>
            <w:tcMar>
              <w:top w:type="dxa" w:w="80"/>
              <w:left w:type="dxa" w:w="110"/>
              <w:bottom w:type="dxa" w:w="80"/>
              <w:right w:type="dxa" w:w="110"/>
            </w:tcMar>
          </w:tcPr>
          <w:p>
            <w:r>
              <w:rPr>
                <w:b/>
                <w:bCs/>
                <w:color w:val="FFFFFF"/>
                <w:sz w:val="19"/>
                <w:szCs w:val="19"/>
              </w:rPr>
              <w:t xml:space="preserve">Verdict</w:t>
            </w:r>
          </w:p>
        </w:tc>
      </w:tr>
      <w:tr>
        <w:tc>
          <w:tcPr>
            <w:tcW w:type="dxa" w:w="2600"/>
            <w:tcMar>
              <w:top w:type="dxa" w:w="80"/>
              <w:left w:type="dxa" w:w="110"/>
              <w:bottom w:type="dxa" w:w="80"/>
              <w:right w:type="dxa" w:w="110"/>
            </w:tcMar>
          </w:tcPr>
          <w:p>
            <w:r>
              <w:rPr>
                <w:b w:val="false"/>
                <w:bCs w:val="false"/>
                <w:color w:val="222222"/>
                <w:sz w:val="19"/>
                <w:szCs w:val="19"/>
              </w:rPr>
              <w:t xml:space="preserve">A. Hybrid OCR/NLP pipeline + human-in-loop review (recommended)</w:t>
            </w:r>
          </w:p>
        </w:tc>
        <w:tc>
          <w:tcPr>
            <w:tcW w:type="dxa" w:w="2300"/>
            <w:tcMar>
              <w:top w:type="dxa" w:w="80"/>
              <w:left w:type="dxa" w:w="110"/>
              <w:bottom w:type="dxa" w:w="80"/>
              <w:right w:type="dxa" w:w="110"/>
            </w:tcMar>
          </w:tcPr>
          <w:p>
            <w:r>
              <w:rPr>
                <w:b w:val="false"/>
                <w:bCs w:val="false"/>
                <w:color w:val="222222"/>
                <w:sz w:val="19"/>
                <w:szCs w:val="19"/>
              </w:rPr>
              <w:t xml:space="preserve">Explainable, defensible, matches PS's explicit ask for confidence scoring and human verification; deployable on government cloud</w:t>
            </w:r>
          </w:p>
        </w:tc>
        <w:tc>
          <w:tcPr>
            <w:tcW w:type="dxa" w:w="2900"/>
            <w:tcMar>
              <w:top w:type="dxa" w:w="80"/>
              <w:left w:type="dxa" w:w="110"/>
              <w:bottom w:type="dxa" w:w="80"/>
              <w:right w:type="dxa" w:w="110"/>
            </w:tcMar>
          </w:tcPr>
          <w:p>
            <w:r>
              <w:rPr>
                <w:b w:val="false"/>
                <w:bCs w:val="false"/>
                <w:color w:val="222222"/>
                <w:sz w:val="19"/>
                <w:szCs w:val="19"/>
              </w:rPr>
              <w:t xml:space="preserve">Requires building/orchestrating multiple ML components; handwriting accuracy will be imperfect and needs the review step</w:t>
            </w:r>
          </w:p>
        </w:tc>
        <w:tc>
          <w:tcPr>
            <w:tcW w:type="dxa" w:w="1550"/>
            <w:tcMar>
              <w:top w:type="dxa" w:w="80"/>
              <w:left w:type="dxa" w:w="110"/>
              <w:bottom w:type="dxa" w:w="80"/>
              <w:right w:type="dxa" w:w="110"/>
            </w:tcMar>
          </w:tcPr>
          <w:p>
            <w:r>
              <w:rPr>
                <w:b w:val="false"/>
                <w:bCs w:val="false"/>
                <w:color w:val="222222"/>
                <w:sz w:val="19"/>
                <w:szCs w:val="19"/>
              </w:rPr>
              <w:t xml:space="preserve">Chosen — best balance of feasibility, defensibility, and fit to the PS</w:t>
            </w:r>
          </w:p>
        </w:tc>
      </w:tr>
      <w:tr>
        <w:tc>
          <w:tcPr>
            <w:tcW w:type="dxa" w:w="2600"/>
            <w:shd w:fill="EAF1EF" w:val="clear"/>
            <w:tcMar>
              <w:top w:type="dxa" w:w="80"/>
              <w:left w:type="dxa" w:w="110"/>
              <w:bottom w:type="dxa" w:w="80"/>
              <w:right w:type="dxa" w:w="110"/>
            </w:tcMar>
          </w:tcPr>
          <w:p>
            <w:r>
              <w:rPr>
                <w:b w:val="false"/>
                <w:bCs w:val="false"/>
                <w:color w:val="222222"/>
                <w:sz w:val="19"/>
                <w:szCs w:val="19"/>
              </w:rPr>
              <w:t xml:space="preserve">B. Send scans to a large multimodal LLM API as the primary OCR/extraction engine</w:t>
            </w:r>
          </w:p>
        </w:tc>
        <w:tc>
          <w:tcPr>
            <w:tcW w:type="dxa" w:w="2300"/>
            <w:shd w:fill="EAF1EF" w:val="clear"/>
            <w:tcMar>
              <w:top w:type="dxa" w:w="80"/>
              <w:left w:type="dxa" w:w="110"/>
              <w:bottom w:type="dxa" w:w="80"/>
              <w:right w:type="dxa" w:w="110"/>
            </w:tcMar>
          </w:tcPr>
          <w:p>
            <w:r>
              <w:rPr>
                <w:b w:val="false"/>
                <w:bCs w:val="false"/>
                <w:color w:val="222222"/>
                <w:sz w:val="19"/>
                <w:szCs w:val="19"/>
              </w:rPr>
              <w:t xml:space="preserve">Fast to prototype; strong general handwriting/layout understanding out of the box</w:t>
            </w:r>
          </w:p>
        </w:tc>
        <w:tc>
          <w:tcPr>
            <w:tcW w:type="dxa" w:w="2900"/>
            <w:shd w:fill="EAF1EF" w:val="clear"/>
            <w:tcMar>
              <w:top w:type="dxa" w:w="80"/>
              <w:left w:type="dxa" w:w="110"/>
              <w:bottom w:type="dxa" w:w="80"/>
              <w:right w:type="dxa" w:w="110"/>
            </w:tcMar>
          </w:tcPr>
          <w:p>
            <w:r>
              <w:rPr>
                <w:b w:val="false"/>
                <w:bCs w:val="false"/>
                <w:color w:val="222222"/>
                <w:sz w:val="19"/>
                <w:szCs w:val="19"/>
              </w:rPr>
              <w:t xml:space="preserve">Sends sensitive government revenue data to third-party infrastructure (data residency risk); ongoing per-page cost at national scale; less transparent confidence signal; harder to defend legally</w:t>
            </w:r>
          </w:p>
        </w:tc>
        <w:tc>
          <w:tcPr>
            <w:tcW w:type="dxa" w:w="1550"/>
            <w:shd w:fill="EAF1EF" w:val="clear"/>
            <w:tcMar>
              <w:top w:type="dxa" w:w="80"/>
              <w:left w:type="dxa" w:w="110"/>
              <w:bottom w:type="dxa" w:w="80"/>
              <w:right w:type="dxa" w:w="110"/>
            </w:tcMar>
          </w:tcPr>
          <w:p>
            <w:r>
              <w:rPr>
                <w:b w:val="false"/>
                <w:bCs w:val="false"/>
                <w:color w:val="222222"/>
                <w:sz w:val="19"/>
                <w:szCs w:val="19"/>
              </w:rPr>
              <w:t xml:space="preserve">Use only as an optional secondary re-ranker for ambiguous fields, not the primary pipeline</w:t>
            </w:r>
          </w:p>
        </w:tc>
      </w:tr>
      <w:tr>
        <w:tc>
          <w:tcPr>
            <w:tcW w:type="dxa" w:w="2600"/>
            <w:tcMar>
              <w:top w:type="dxa" w:w="80"/>
              <w:left w:type="dxa" w:w="110"/>
              <w:bottom w:type="dxa" w:w="80"/>
              <w:right w:type="dxa" w:w="110"/>
            </w:tcMar>
          </w:tcPr>
          <w:p>
            <w:r>
              <w:rPr>
                <w:b w:val="false"/>
                <w:bCs w:val="false"/>
                <w:color w:val="222222"/>
                <w:sz w:val="19"/>
                <w:szCs w:val="19"/>
              </w:rPr>
              <w:t xml:space="preserve">C. Blockchain-first: store all digitized records on a distributed ledger</w:t>
            </w:r>
          </w:p>
        </w:tc>
        <w:tc>
          <w:tcPr>
            <w:tcW w:type="dxa" w:w="2300"/>
            <w:tcMar>
              <w:top w:type="dxa" w:w="80"/>
              <w:left w:type="dxa" w:w="110"/>
              <w:bottom w:type="dxa" w:w="80"/>
              <w:right w:type="dxa" w:w="110"/>
            </w:tcMar>
          </w:tcPr>
          <w:p>
            <w:r>
              <w:rPr>
                <w:b w:val="false"/>
                <w:bCs w:val="false"/>
                <w:color w:val="222222"/>
                <w:sz w:val="19"/>
                <w:szCs w:val="19"/>
              </w:rPr>
              <w:t xml:space="preserve">Strong tamper-evidence narrative; many hackathon precedents exist to reference</w:t>
            </w:r>
          </w:p>
        </w:tc>
        <w:tc>
          <w:tcPr>
            <w:tcW w:type="dxa" w:w="2900"/>
            <w:tcMar>
              <w:top w:type="dxa" w:w="80"/>
              <w:left w:type="dxa" w:w="110"/>
              <w:bottom w:type="dxa" w:w="80"/>
              <w:right w:type="dxa" w:w="110"/>
            </w:tcMar>
          </w:tcPr>
          <w:p>
            <w:r>
              <w:rPr>
                <w:b w:val="false"/>
                <w:bCs w:val="false"/>
                <w:color w:val="222222"/>
                <w:sz w:val="19"/>
                <w:szCs w:val="19"/>
              </w:rPr>
              <w:t xml:space="preserve">Does not address the actual extraction/digitization problem in the PS; adds complexity, latency, and governance overhead most GitHub land-registry projects never resolve</w:t>
            </w:r>
          </w:p>
        </w:tc>
        <w:tc>
          <w:tcPr>
            <w:tcW w:type="dxa" w:w="1550"/>
            <w:tcMar>
              <w:top w:type="dxa" w:w="80"/>
              <w:left w:type="dxa" w:w="110"/>
              <w:bottom w:type="dxa" w:w="80"/>
              <w:right w:type="dxa" w:w="110"/>
            </w:tcMar>
          </w:tcPr>
          <w:p>
            <w:r>
              <w:rPr>
                <w:b w:val="false"/>
                <w:bCs w:val="false"/>
                <w:color w:val="222222"/>
                <w:sz w:val="19"/>
                <w:szCs w:val="19"/>
              </w:rPr>
              <w:t xml:space="preserve">Rejected as core; keep an append-only, hash-chained audit log instead for the same tamper-evidence benefit without full blockchain overhead</w:t>
            </w:r>
          </w:p>
        </w:tc>
      </w:tr>
      <w:tr>
        <w:tc>
          <w:tcPr>
            <w:tcW w:type="dxa" w:w="2600"/>
            <w:shd w:fill="EAF1EF" w:val="clear"/>
            <w:tcMar>
              <w:top w:type="dxa" w:w="80"/>
              <w:left w:type="dxa" w:w="110"/>
              <w:bottom w:type="dxa" w:w="80"/>
              <w:right w:type="dxa" w:w="110"/>
            </w:tcMar>
          </w:tcPr>
          <w:p>
            <w:r>
              <w:rPr>
                <w:b w:val="false"/>
                <w:bCs w:val="false"/>
                <w:color w:val="222222"/>
                <w:sz w:val="19"/>
                <w:szCs w:val="19"/>
              </w:rPr>
              <w:t xml:space="preserve">D. Fully manual, crowdsourced/BPO-style data entry</w:t>
            </w:r>
          </w:p>
        </w:tc>
        <w:tc>
          <w:tcPr>
            <w:tcW w:type="dxa" w:w="2300"/>
            <w:shd w:fill="EAF1EF" w:val="clear"/>
            <w:tcMar>
              <w:top w:type="dxa" w:w="80"/>
              <w:left w:type="dxa" w:w="110"/>
              <w:bottom w:type="dxa" w:w="80"/>
              <w:right w:type="dxa" w:w="110"/>
            </w:tcMar>
          </w:tcPr>
          <w:p>
            <w:r>
              <w:rPr>
                <w:b w:val="false"/>
                <w:bCs w:val="false"/>
                <w:color w:val="222222"/>
                <w:sz w:val="19"/>
                <w:szCs w:val="19"/>
              </w:rPr>
              <w:t xml:space="preserve">No AI risk; simplest to run today</w:t>
            </w:r>
          </w:p>
        </w:tc>
        <w:tc>
          <w:tcPr>
            <w:tcW w:type="dxa" w:w="2900"/>
            <w:shd w:fill="EAF1EF" w:val="clear"/>
            <w:tcMar>
              <w:top w:type="dxa" w:w="80"/>
              <w:left w:type="dxa" w:w="110"/>
              <w:bottom w:type="dxa" w:w="80"/>
              <w:right w:type="dxa" w:w="110"/>
            </w:tcMar>
          </w:tcPr>
          <w:p>
            <w:r>
              <w:rPr>
                <w:b w:val="false"/>
                <w:bCs w:val="false"/>
                <w:color w:val="222222"/>
                <w:sz w:val="19"/>
                <w:szCs w:val="19"/>
              </w:rPr>
              <w:t xml:space="preserve">Is literally the current, slow, expensive, error-prone status quo the PS is asking to fix; does not scale</w:t>
            </w:r>
          </w:p>
        </w:tc>
        <w:tc>
          <w:tcPr>
            <w:tcW w:type="dxa" w:w="1550"/>
            <w:shd w:fill="EAF1EF" w:val="clear"/>
            <w:tcMar>
              <w:top w:type="dxa" w:w="80"/>
              <w:left w:type="dxa" w:w="110"/>
              <w:bottom w:type="dxa" w:w="80"/>
              <w:right w:type="dxa" w:w="110"/>
            </w:tcMar>
          </w:tcPr>
          <w:p>
            <w:r>
              <w:rPr>
                <w:b w:val="false"/>
                <w:bCs w:val="false"/>
                <w:color w:val="222222"/>
                <w:sz w:val="19"/>
                <w:szCs w:val="19"/>
              </w:rPr>
              <w:t xml:space="preserve">Rejected — baseline the team should aim to beat, not replicate</w:t>
            </w:r>
          </w:p>
        </w:tc>
      </w:tr>
    </w:tbl>
    <w:p>
      <w:pPr>
        <w:pStyle w:val="Heading1"/>
        <w:pBdr>
          <w:bottom w:val="single" w:color="1F3864" w:sz="6" w:space="4"/>
        </w:pBdr>
        <w:spacing w:after="160" w:before="380"/>
      </w:pPr>
      <w:r>
        <w:rPr>
          <w:b/>
          <w:bCs/>
          <w:color w:val="1F3864"/>
          <w:sz w:val="30"/>
          <w:szCs w:val="30"/>
        </w:rPr>
        <w:t xml:space="preserve">5. User Journeys</w:t>
      </w:r>
    </w:p>
    <w:p>
      <w:pPr>
        <w:pStyle w:val="Heading2"/>
        <w:spacing w:after="120" w:before="260"/>
      </w:pPr>
      <w:r>
        <w:rPr>
          <w:b/>
          <w:bCs/>
          <w:color w:val="0F6B5C"/>
          <w:sz w:val="24"/>
          <w:szCs w:val="24"/>
        </w:rPr>
        <w:t xml:space="preserve">5.1 Journey A — Bulk digitization (Data Entry Operator)</w:t>
      </w:r>
    </w:p>
    <w:p>
      <w:pPr>
        <w:pStyle w:val="ListParagraph"/>
        <w:numPr>
          <w:ilvl w:val="0"/>
          <w:numId w:val="3"/>
        </w:numPr>
        <w:spacing w:after="80" w:line="290"/>
      </w:pPr>
      <w:r>
        <w:rPr>
          <w:sz w:val="21"/>
          <w:szCs w:val="21"/>
        </w:rPr>
        <w:t xml:space="preserve">Operator logs in and creates a new digitization batch (e.g., “Village X, Register 1998-2001”).</w:t>
      </w:r>
    </w:p>
    <w:p>
      <w:pPr>
        <w:pStyle w:val="ListParagraph"/>
        <w:numPr>
          <w:ilvl w:val="0"/>
          <w:numId w:val="3"/>
        </w:numPr>
        <w:spacing w:after="80" w:line="290"/>
      </w:pPr>
      <w:r>
        <w:rPr>
          <w:sz w:val="21"/>
          <w:szCs w:val="21"/>
        </w:rPr>
        <w:t xml:space="preserve">Uploads scanned images/PDFs in bulk; system auto-runs pre-processing and OCR/field extraction per document.</w:t>
      </w:r>
    </w:p>
    <w:p>
      <w:pPr>
        <w:pStyle w:val="ListParagraph"/>
        <w:numPr>
          <w:ilvl w:val="0"/>
          <w:numId w:val="3"/>
        </w:numPr>
        <w:spacing w:after="80" w:line="290"/>
      </w:pPr>
      <w:r>
        <w:rPr>
          <w:sz w:val="21"/>
          <w:szCs w:val="21"/>
        </w:rPr>
        <w:t xml:space="preserve">System presents each document with extracted fields pre-filled and colour-coded by confidence (e.g., green = auto-accepted, amber/red = needs review).</w:t>
      </w:r>
    </w:p>
    <w:p>
      <w:pPr>
        <w:pStyle w:val="ListParagraph"/>
        <w:numPr>
          <w:ilvl w:val="0"/>
          <w:numId w:val="3"/>
        </w:numPr>
        <w:spacing w:after="80" w:line="290"/>
      </w:pPr>
      <w:r>
        <w:rPr>
          <w:sz w:val="21"/>
          <w:szCs w:val="21"/>
        </w:rPr>
        <w:t xml:space="preserve">Operator reviews only the flagged fields against the original scan shown side-by-side, corrects as needed.</w:t>
      </w:r>
    </w:p>
    <w:p>
      <w:pPr>
        <w:pStyle w:val="ListParagraph"/>
        <w:numPr>
          <w:ilvl w:val="0"/>
          <w:numId w:val="3"/>
        </w:numPr>
        <w:spacing w:after="80" w:line="290"/>
      </w:pPr>
      <w:r>
        <w:rPr>
          <w:sz w:val="21"/>
          <w:szCs w:val="21"/>
        </w:rPr>
        <w:t xml:space="preserve">Operator submits the batch for officer approval.</w:t>
      </w:r>
    </w:p>
    <w:p>
      <w:pPr>
        <w:pStyle w:val="ListParagraph"/>
        <w:numPr>
          <w:ilvl w:val="0"/>
          <w:numId w:val="3"/>
        </w:numPr>
        <w:spacing w:after="80" w:line="290"/>
      </w:pPr>
      <w:r>
        <w:rPr>
          <w:sz w:val="21"/>
          <w:szCs w:val="21"/>
        </w:rPr>
        <w:t xml:space="preserve">Validation engine runs duplicate and master-data cross-checks in the background and surfaces any conflicts before submission is allowed to complete.</w:t>
      </w:r>
    </w:p>
    <w:p>
      <w:pPr>
        <w:pStyle w:val="Heading2"/>
        <w:spacing w:after="120" w:before="260"/>
      </w:pPr>
      <w:r>
        <w:rPr>
          <w:b/>
          <w:bCs/>
          <w:color w:val="0F6B5C"/>
          <w:sz w:val="24"/>
          <w:szCs w:val="24"/>
        </w:rPr>
        <w:t xml:space="preserve">5.2 Journey B — Verification &amp; approval (Revenue Officer / Tehsildar)</w:t>
      </w:r>
    </w:p>
    <w:p>
      <w:pPr>
        <w:pStyle w:val="ListParagraph"/>
        <w:numPr>
          <w:ilvl w:val="0"/>
          <w:numId w:val="3"/>
        </w:numPr>
        <w:spacing w:after="80" w:line="290"/>
      </w:pPr>
      <w:r>
        <w:rPr>
          <w:sz w:val="21"/>
          <w:szCs w:val="21"/>
        </w:rPr>
        <w:t xml:space="preserve">Officer opens the pending-approval queue, filtered by village/tehsil.</w:t>
      </w:r>
    </w:p>
    <w:p>
      <w:pPr>
        <w:pStyle w:val="ListParagraph"/>
        <w:numPr>
          <w:ilvl w:val="0"/>
          <w:numId w:val="3"/>
        </w:numPr>
        <w:spacing w:after="80" w:line="290"/>
      </w:pPr>
      <w:r>
        <w:rPr>
          <w:sz w:val="21"/>
          <w:szCs w:val="21"/>
        </w:rPr>
        <w:t xml:space="preserve">Reviews operator-corrected records, with full visibility into what the AI originally extracted vs. what the operator changed (diff view) for accountability.</w:t>
      </w:r>
    </w:p>
    <w:p>
      <w:pPr>
        <w:pStyle w:val="ListParagraph"/>
        <w:numPr>
          <w:ilvl w:val="0"/>
          <w:numId w:val="3"/>
        </w:numPr>
        <w:spacing w:after="80" w:line="290"/>
      </w:pPr>
      <w:r>
        <w:rPr>
          <w:sz w:val="21"/>
          <w:szCs w:val="21"/>
        </w:rPr>
        <w:t xml:space="preserve">Approves, rejects back to the operator with comments, or escalates disputed cases.</w:t>
      </w:r>
    </w:p>
    <w:p>
      <w:pPr>
        <w:pStyle w:val="ListParagraph"/>
        <w:numPr>
          <w:ilvl w:val="0"/>
          <w:numId w:val="3"/>
        </w:numPr>
        <w:spacing w:after="80" w:line="290"/>
      </w:pPr>
      <w:r>
        <w:rPr>
          <w:sz w:val="21"/>
          <w:szCs w:val="21"/>
        </w:rPr>
        <w:t xml:space="preserve">On approval, the record is pushed via the integration layer to the connected LRMS/DILRMP endpoint, and an immutable audit-log entry is created.</w:t>
      </w:r>
    </w:p>
    <w:p>
      <w:pPr>
        <w:pStyle w:val="Heading2"/>
        <w:spacing w:after="120" w:before="260"/>
      </w:pPr>
      <w:r>
        <w:rPr>
          <w:b/>
          <w:bCs/>
          <w:color w:val="0F6B5C"/>
          <w:sz w:val="24"/>
          <w:szCs w:val="24"/>
        </w:rPr>
        <w:t xml:space="preserve">5.3 Journey C — Monitoring (District Land Records Officer / Admin)</w:t>
      </w:r>
    </w:p>
    <w:p>
      <w:pPr>
        <w:pStyle w:val="ListParagraph"/>
        <w:numPr>
          <w:ilvl w:val="0"/>
          <w:numId w:val="3"/>
        </w:numPr>
        <w:spacing w:after="80" w:line="290"/>
      </w:pPr>
      <w:r>
        <w:rPr>
          <w:sz w:val="21"/>
          <w:szCs w:val="21"/>
        </w:rPr>
        <w:t xml:space="preserve">Opens the dashboard for a district-wide view: documents processed, extraction accuracy trend, pending verification cases, and error statistics.</w:t>
      </w:r>
    </w:p>
    <w:p>
      <w:pPr>
        <w:pStyle w:val="ListParagraph"/>
        <w:numPr>
          <w:ilvl w:val="0"/>
          <w:numId w:val="3"/>
        </w:numPr>
        <w:spacing w:after="80" w:line="290"/>
      </w:pPr>
      <w:r>
        <w:rPr>
          <w:sz w:val="21"/>
          <w:szCs w:val="21"/>
        </w:rPr>
        <w:t xml:space="preserve">Drills down state → district → tehsil → village to find backlog hotspots.</w:t>
      </w:r>
    </w:p>
    <w:p>
      <w:pPr>
        <w:pStyle w:val="ListParagraph"/>
        <w:numPr>
          <w:ilvl w:val="0"/>
          <w:numId w:val="3"/>
        </w:numPr>
        <w:spacing w:after="80" w:line="290"/>
      </w:pPr>
      <w:r>
        <w:rPr>
          <w:sz w:val="21"/>
          <w:szCs w:val="21"/>
        </w:rPr>
        <w:t xml:space="preserve">Exports progress reports for higher-level DILRMP reporting requirements.</w:t>
      </w:r>
    </w:p>
    <w:p>
      <w:pPr>
        <w:pStyle w:val="Heading1"/>
        <w:pBdr>
          <w:bottom w:val="single" w:color="1F3864" w:sz="6" w:space="4"/>
        </w:pBdr>
        <w:spacing w:after="160" w:before="380"/>
      </w:pPr>
      <w:r>
        <w:rPr>
          <w:b/>
          <w:bCs/>
          <w:color w:val="1F3864"/>
          <w:sz w:val="30"/>
          <w:szCs w:val="30"/>
        </w:rPr>
        <w:t xml:space="preserve">6. Technical Architecture</w:t>
      </w:r>
    </w:p>
    <w:p>
      <w:pPr>
        <w:pStyle w:val="Heading2"/>
        <w:spacing w:after="120" w:before="260"/>
      </w:pPr>
      <w:r>
        <w:rPr>
          <w:b/>
          <w:bCs/>
          <w:color w:val="0F6B5C"/>
          <w:sz w:val="24"/>
          <w:szCs w:val="24"/>
        </w:rPr>
        <w:t xml:space="preserve">6.1 High-level architecture</w:t>
      </w:r>
    </w:p>
    <w:p>
      <w:pPr>
        <w:spacing w:after="140" w:line="300"/>
      </w:pPr>
      <w:r>
        <w:rPr>
          <w:color w:val="222222"/>
          <w:sz w:val="21"/>
          <w:szCs w:val="21"/>
        </w:rPr>
        <w:t xml:space="preserve">The system is organized as a set of loosely-coupled services behind an API gateway, so that the OCR/ML components can be improved or swapped independently of the core workflow and integration logic:</w:t>
      </w:r>
    </w:p>
    <w:p>
      <w:pPr>
        <w:pStyle w:val="ListParagraph"/>
        <w:numPr>
          <w:ilvl w:val="0"/>
          <w:numId w:val="2"/>
        </w:numPr>
        <w:spacing w:after="80" w:line="290"/>
      </w:pPr>
      <w:r>
        <w:rPr>
          <w:b/>
          <w:bCs/>
          <w:sz w:val="21"/>
          <w:szCs w:val="21"/>
        </w:rPr>
        <w:t xml:space="preserve">Client layer: </w:t>
      </w:r>
      <w:r>
        <w:rPr>
          <w:sz w:val="21"/>
          <w:szCs w:val="21"/>
        </w:rPr>
        <w:t xml:space="preserve">role-based web app (operator, officer, admin views) plus an optional lightweight mobile capture app for field-level scanning in areas with limited connectivity.</w:t>
      </w:r>
    </w:p>
    <w:p>
      <w:pPr>
        <w:pStyle w:val="ListParagraph"/>
        <w:numPr>
          <w:ilvl w:val="0"/>
          <w:numId w:val="2"/>
        </w:numPr>
        <w:spacing w:after="80" w:line="290"/>
      </w:pPr>
      <w:r>
        <w:rPr>
          <w:b/>
          <w:bCs/>
          <w:sz w:val="21"/>
          <w:szCs w:val="21"/>
        </w:rPr>
        <w:t xml:space="preserve">API gateway / core backend: </w:t>
      </w:r>
      <w:r>
        <w:rPr>
          <w:sz w:val="21"/>
          <w:szCs w:val="21"/>
        </w:rPr>
        <w:t xml:space="preserve">handles auth (RBAC), batch/document workflow state, and orchestrates calls to the ML services.</w:t>
      </w:r>
    </w:p>
    <w:p>
      <w:pPr>
        <w:pStyle w:val="ListParagraph"/>
        <w:numPr>
          <w:ilvl w:val="0"/>
          <w:numId w:val="2"/>
        </w:numPr>
        <w:spacing w:after="80" w:line="290"/>
      </w:pPr>
      <w:r>
        <w:rPr>
          <w:b/>
          <w:bCs/>
          <w:sz w:val="21"/>
          <w:szCs w:val="21"/>
        </w:rPr>
        <w:t xml:space="preserve">Document pre-processing service: </w:t>
      </w:r>
      <w:r>
        <w:rPr>
          <w:sz w:val="21"/>
          <w:szCs w:val="21"/>
        </w:rPr>
        <w:t xml:space="preserve">deskew, denoise, binarization, page and table/region detection.</w:t>
      </w:r>
    </w:p>
    <w:p>
      <w:pPr>
        <w:pStyle w:val="ListParagraph"/>
        <w:numPr>
          <w:ilvl w:val="0"/>
          <w:numId w:val="2"/>
        </w:numPr>
        <w:spacing w:after="80" w:line="290"/>
      </w:pPr>
      <w:r>
        <w:rPr>
          <w:b/>
          <w:bCs/>
          <w:sz w:val="21"/>
          <w:szCs w:val="21"/>
        </w:rPr>
        <w:t xml:space="preserve">OCR/CV service: </w:t>
      </w:r>
      <w:r>
        <w:rPr>
          <w:sz w:val="21"/>
          <w:szCs w:val="21"/>
        </w:rPr>
        <w:t xml:space="preserve">printed-text OCR and a separate handwriting-recognition path, chosen per document/region based on a lightweight printed-vs-handwritten classifier.</w:t>
      </w:r>
    </w:p>
    <w:p>
      <w:pPr>
        <w:pStyle w:val="ListParagraph"/>
        <w:numPr>
          <w:ilvl w:val="0"/>
          <w:numId w:val="2"/>
        </w:numPr>
        <w:spacing w:after="80" w:line="290"/>
      </w:pPr>
      <w:r>
        <w:rPr>
          <w:b/>
          <w:bCs/>
          <w:sz w:val="21"/>
          <w:szCs w:val="21"/>
        </w:rPr>
        <w:t xml:space="preserve">NLP/field-classification service: </w:t>
      </w:r>
      <w:r>
        <w:rPr>
          <w:sz w:val="21"/>
          <w:szCs w:val="21"/>
        </w:rPr>
        <w:t xml:space="preserve">maps recognized text into the predefined schema using a hybrid of pattern/gazetteer rules (for structured tokens like survey numbers) and NER/transformer models (for names and free text).</w:t>
      </w:r>
    </w:p>
    <w:p>
      <w:pPr>
        <w:pStyle w:val="ListParagraph"/>
        <w:numPr>
          <w:ilvl w:val="0"/>
          <w:numId w:val="2"/>
        </w:numPr>
        <w:spacing w:after="80" w:line="290"/>
      </w:pPr>
      <w:r>
        <w:rPr>
          <w:b/>
          <w:bCs/>
          <w:sz w:val="21"/>
          <w:szCs w:val="21"/>
        </w:rPr>
        <w:t xml:space="preserve">Validation &amp; rules engine: </w:t>
      </w:r>
      <w:r>
        <w:rPr>
          <w:sz w:val="21"/>
          <w:szCs w:val="21"/>
        </w:rPr>
        <w:t xml:space="preserve">schema checks, duplicate detection (fuzzy matching), and cross-checks against master village/tehsil/district reference data.</w:t>
      </w:r>
    </w:p>
    <w:p>
      <w:pPr>
        <w:pStyle w:val="ListParagraph"/>
        <w:numPr>
          <w:ilvl w:val="0"/>
          <w:numId w:val="2"/>
        </w:numPr>
        <w:spacing w:after="80" w:line="290"/>
      </w:pPr>
      <w:r>
        <w:rPr>
          <w:b/>
          <w:bCs/>
          <w:sz w:val="21"/>
          <w:szCs w:val="21"/>
        </w:rPr>
        <w:t xml:space="preserve">Review &amp; workflow service: </w:t>
      </w:r>
      <w:r>
        <w:rPr>
          <w:sz w:val="21"/>
          <w:szCs w:val="21"/>
        </w:rPr>
        <w:t xml:space="preserve">manages the confidence-based routing between auto-accept, operator review, and officer approval states.</w:t>
      </w:r>
    </w:p>
    <w:p>
      <w:pPr>
        <w:pStyle w:val="ListParagraph"/>
        <w:numPr>
          <w:ilvl w:val="0"/>
          <w:numId w:val="2"/>
        </w:numPr>
        <w:spacing w:after="80" w:line="290"/>
      </w:pPr>
      <w:r>
        <w:rPr>
          <w:b/>
          <w:bCs/>
          <w:sz w:val="21"/>
          <w:szCs w:val="21"/>
        </w:rPr>
        <w:t xml:space="preserve">Integration/adapter layer: </w:t>
      </w:r>
      <w:r>
        <w:rPr>
          <w:sz w:val="21"/>
          <w:szCs w:val="21"/>
        </w:rPr>
        <w:t xml:space="preserve">one adapter per external system (state LRMS format, DILRMP, GIS) so the core product does not hard-couple to any single state's API shape — for the hackathon this layer talks to mock endpoints built to a documented contract.</w:t>
      </w:r>
    </w:p>
    <w:p>
      <w:pPr>
        <w:pStyle w:val="ListParagraph"/>
        <w:numPr>
          <w:ilvl w:val="0"/>
          <w:numId w:val="2"/>
        </w:numPr>
        <w:spacing w:after="80" w:line="290"/>
      </w:pPr>
      <w:r>
        <w:rPr>
          <w:b/>
          <w:bCs/>
          <w:sz w:val="21"/>
          <w:szCs w:val="21"/>
        </w:rPr>
        <w:t xml:space="preserve">GIS layer: </w:t>
      </w:r>
      <w:r>
        <w:rPr>
          <w:sz w:val="21"/>
          <w:szCs w:val="21"/>
        </w:rPr>
        <w:t xml:space="preserve">map view of digitized plots against cadastral boundaries.</w:t>
      </w:r>
    </w:p>
    <w:p>
      <w:pPr>
        <w:pStyle w:val="ListParagraph"/>
        <w:numPr>
          <w:ilvl w:val="0"/>
          <w:numId w:val="2"/>
        </w:numPr>
        <w:spacing w:after="80" w:line="290"/>
      </w:pPr>
      <w:r>
        <w:rPr>
          <w:b/>
          <w:bCs/>
          <w:sz w:val="21"/>
          <w:szCs w:val="21"/>
        </w:rPr>
        <w:t xml:space="preserve">Audit &amp; storage layer: </w:t>
      </w:r>
      <w:r>
        <w:rPr>
          <w:sz w:val="21"/>
          <w:szCs w:val="21"/>
        </w:rPr>
        <w:t xml:space="preserve">append-only audit log, original-scan object storage (retained immutably), and the structured records database.</w:t>
      </w:r>
    </w:p>
    <w:p>
      <w:pPr>
        <w:pStyle w:val="Heading2"/>
        <w:spacing w:after="120" w:before="260"/>
      </w:pPr>
      <w:r>
        <w:rPr>
          <w:b/>
          <w:bCs/>
          <w:color w:val="0F6B5C"/>
          <w:sz w:val="24"/>
          <w:szCs w:val="24"/>
        </w:rPr>
        <w:t xml:space="preserve">6.2 Recommended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600"/>
        <w:gridCol w:w="3900"/>
      </w:tblGrid>
      <w:tr>
        <w:trPr>
          <w:tblHeader/>
        </w:trPr>
        <w:tc>
          <w:tcPr>
            <w:tcW w:type="dxa" w:w="1750"/>
            <w:shd w:fill="1F3864" w:val="clear"/>
            <w:tcMar>
              <w:top w:type="dxa" w:w="80"/>
              <w:left w:type="dxa" w:w="110"/>
              <w:bottom w:type="dxa" w:w="80"/>
              <w:right w:type="dxa" w:w="110"/>
            </w:tcMar>
          </w:tcPr>
          <w:p>
            <w:r>
              <w:rPr>
                <w:b/>
                <w:bCs/>
                <w:color w:val="FFFFFF"/>
                <w:sz w:val="19"/>
                <w:szCs w:val="19"/>
              </w:rPr>
              <w:t xml:space="preserve">Layer</w:t>
            </w:r>
          </w:p>
        </w:tc>
        <w:tc>
          <w:tcPr>
            <w:tcW w:type="dxa" w:w="3600"/>
            <w:shd w:fill="1F3864" w:val="clear"/>
            <w:tcMar>
              <w:top w:type="dxa" w:w="80"/>
              <w:left w:type="dxa" w:w="110"/>
              <w:bottom w:type="dxa" w:w="80"/>
              <w:right w:type="dxa" w:w="110"/>
            </w:tcMar>
          </w:tcPr>
          <w:p>
            <w:r>
              <w:rPr>
                <w:b/>
                <w:bCs/>
                <w:color w:val="FFFFFF"/>
                <w:sz w:val="19"/>
                <w:szCs w:val="19"/>
              </w:rPr>
              <w:t xml:space="preserve">Recommended technology</w:t>
            </w:r>
          </w:p>
        </w:tc>
        <w:tc>
          <w:tcPr>
            <w:tcW w:type="dxa" w:w="3900"/>
            <w:shd w:fill="1F3864" w:val="clear"/>
            <w:tcMar>
              <w:top w:type="dxa" w:w="80"/>
              <w:left w:type="dxa" w:w="110"/>
              <w:bottom w:type="dxa" w:w="80"/>
              <w:right w:type="dxa" w:w="110"/>
            </w:tcMar>
          </w:tcPr>
          <w:p>
            <w:r>
              <w:rPr>
                <w:b/>
                <w:bCs/>
                <w:color w:val="FFFFFF"/>
                <w:sz w:val="19"/>
                <w:szCs w:val="19"/>
              </w:rPr>
              <w:t xml:space="preserve">Notes</w:t>
            </w:r>
          </w:p>
        </w:tc>
      </w:tr>
      <w:tr>
        <w:tc>
          <w:tcPr>
            <w:tcW w:type="dxa" w:w="1750"/>
            <w:tcMar>
              <w:top w:type="dxa" w:w="80"/>
              <w:left w:type="dxa" w:w="110"/>
              <w:bottom w:type="dxa" w:w="80"/>
              <w:right w:type="dxa" w:w="110"/>
            </w:tcMar>
          </w:tcPr>
          <w:p>
            <w:r>
              <w:rPr>
                <w:b w:val="false"/>
                <w:bCs w:val="false"/>
                <w:color w:val="222222"/>
                <w:sz w:val="19"/>
                <w:szCs w:val="19"/>
              </w:rPr>
              <w:t xml:space="preserve">Frontend</w:t>
            </w:r>
          </w:p>
        </w:tc>
        <w:tc>
          <w:tcPr>
            <w:tcW w:type="dxa" w:w="3600"/>
            <w:tcMar>
              <w:top w:type="dxa" w:w="80"/>
              <w:left w:type="dxa" w:w="110"/>
              <w:bottom w:type="dxa" w:w="80"/>
              <w:right w:type="dxa" w:w="110"/>
            </w:tcMar>
          </w:tcPr>
          <w:p>
            <w:r>
              <w:rPr>
                <w:b w:val="false"/>
                <w:bCs w:val="false"/>
                <w:color w:val="222222"/>
                <w:sz w:val="19"/>
                <w:szCs w:val="19"/>
              </w:rPr>
              <w:t xml:space="preserve">React + Tailwind CSS</w:t>
            </w:r>
          </w:p>
        </w:tc>
        <w:tc>
          <w:tcPr>
            <w:tcW w:type="dxa" w:w="3900"/>
            <w:tcMar>
              <w:top w:type="dxa" w:w="80"/>
              <w:left w:type="dxa" w:w="110"/>
              <w:bottom w:type="dxa" w:w="80"/>
              <w:right w:type="dxa" w:w="110"/>
            </w:tcMar>
          </w:tcPr>
          <w:p>
            <w:r>
              <w:rPr>
                <w:b w:val="false"/>
                <w:bCs w:val="false"/>
                <w:color w:val="222222"/>
                <w:sz w:val="19"/>
                <w:szCs w:val="19"/>
              </w:rPr>
              <w:t xml:space="preserve">Role-based dashboards (operator / officer / admin); works well with the side-by-side scan+field review UI</w:t>
            </w:r>
          </w:p>
        </w:tc>
      </w:tr>
      <w:tr>
        <w:tc>
          <w:tcPr>
            <w:tcW w:type="dxa" w:w="1750"/>
            <w:shd w:fill="EAF1EF" w:val="clear"/>
            <w:tcMar>
              <w:top w:type="dxa" w:w="80"/>
              <w:left w:type="dxa" w:w="110"/>
              <w:bottom w:type="dxa" w:w="80"/>
              <w:right w:type="dxa" w:w="110"/>
            </w:tcMar>
          </w:tcPr>
          <w:p>
            <w:r>
              <w:rPr>
                <w:b w:val="false"/>
                <w:bCs w:val="false"/>
                <w:color w:val="222222"/>
                <w:sz w:val="19"/>
                <w:szCs w:val="19"/>
              </w:rPr>
              <w:t xml:space="preserve">Core backend / API</w:t>
            </w:r>
          </w:p>
        </w:tc>
        <w:tc>
          <w:tcPr>
            <w:tcW w:type="dxa" w:w="3600"/>
            <w:shd w:fill="EAF1EF" w:val="clear"/>
            <w:tcMar>
              <w:top w:type="dxa" w:w="80"/>
              <w:left w:type="dxa" w:w="110"/>
              <w:bottom w:type="dxa" w:w="80"/>
              <w:right w:type="dxa" w:w="110"/>
            </w:tcMar>
          </w:tcPr>
          <w:p>
            <w:r>
              <w:rPr>
                <w:b w:val="false"/>
                <w:bCs w:val="false"/>
                <w:color w:val="222222"/>
                <w:sz w:val="19"/>
                <w:szCs w:val="19"/>
              </w:rPr>
              <w:t xml:space="preserve">Python (FastAPI) or Node.js (Express/NestJS)</w:t>
            </w:r>
          </w:p>
        </w:tc>
        <w:tc>
          <w:tcPr>
            <w:tcW w:type="dxa" w:w="3900"/>
            <w:shd w:fill="EAF1EF" w:val="clear"/>
            <w:tcMar>
              <w:top w:type="dxa" w:w="80"/>
              <w:left w:type="dxa" w:w="110"/>
              <w:bottom w:type="dxa" w:w="80"/>
              <w:right w:type="dxa" w:w="110"/>
            </w:tcMar>
          </w:tcPr>
          <w:p>
            <w:r>
              <w:rPr>
                <w:b w:val="false"/>
                <w:bCs w:val="false"/>
                <w:color w:val="222222"/>
                <w:sz w:val="19"/>
                <w:szCs w:val="19"/>
              </w:rPr>
              <w:t xml:space="preserve">REST (GraphQL optional) for internal services; FastAPI is convenient if ML services are also Python-based</w:t>
            </w:r>
          </w:p>
        </w:tc>
      </w:tr>
      <w:tr>
        <w:tc>
          <w:tcPr>
            <w:tcW w:type="dxa" w:w="1750"/>
            <w:tcMar>
              <w:top w:type="dxa" w:w="80"/>
              <w:left w:type="dxa" w:w="110"/>
              <w:bottom w:type="dxa" w:w="80"/>
              <w:right w:type="dxa" w:w="110"/>
            </w:tcMar>
          </w:tcPr>
          <w:p>
            <w:r>
              <w:rPr>
                <w:b w:val="false"/>
                <w:bCs w:val="false"/>
                <w:color w:val="222222"/>
                <w:sz w:val="19"/>
                <w:szCs w:val="19"/>
              </w:rPr>
              <w:t xml:space="preserve">OCR — printed text</w:t>
            </w:r>
          </w:p>
        </w:tc>
        <w:tc>
          <w:tcPr>
            <w:tcW w:type="dxa" w:w="3600"/>
            <w:tcMar>
              <w:top w:type="dxa" w:w="80"/>
              <w:left w:type="dxa" w:w="110"/>
              <w:bottom w:type="dxa" w:w="80"/>
              <w:right w:type="dxa" w:w="110"/>
            </w:tcMar>
          </w:tcPr>
          <w:p>
            <w:r>
              <w:rPr>
                <w:b w:val="false"/>
                <w:bCs w:val="false"/>
                <w:color w:val="222222"/>
                <w:sz w:val="19"/>
                <w:szCs w:val="19"/>
              </w:rPr>
              <w:t xml:space="preserve">Tesseract OCR (multilingual traineddata) as baseline; cloud form-recognizer APIs only where data-residency policy allows</w:t>
            </w:r>
          </w:p>
        </w:tc>
        <w:tc>
          <w:tcPr>
            <w:tcW w:type="dxa" w:w="3900"/>
            <w:tcMar>
              <w:top w:type="dxa" w:w="80"/>
              <w:left w:type="dxa" w:w="110"/>
              <w:bottom w:type="dxa" w:w="80"/>
              <w:right w:type="dxa" w:w="110"/>
            </w:tcMar>
          </w:tcPr>
          <w:p>
            <w:r>
              <w:rPr>
                <w:b w:val="false"/>
                <w:bCs w:val="false"/>
                <w:color w:val="222222"/>
                <w:sz w:val="19"/>
                <w:szCs w:val="19"/>
              </w:rPr>
              <w:t xml:space="preserve">Start with open, self-hostable OCR to respect data residency; keep architecture pluggable</w:t>
            </w:r>
          </w:p>
        </w:tc>
      </w:tr>
      <w:tr>
        <w:tc>
          <w:tcPr>
            <w:tcW w:type="dxa" w:w="1750"/>
            <w:shd w:fill="EAF1EF" w:val="clear"/>
            <w:tcMar>
              <w:top w:type="dxa" w:w="80"/>
              <w:left w:type="dxa" w:w="110"/>
              <w:bottom w:type="dxa" w:w="80"/>
              <w:right w:type="dxa" w:w="110"/>
            </w:tcMar>
          </w:tcPr>
          <w:p>
            <w:r>
              <w:rPr>
                <w:b w:val="false"/>
                <w:bCs w:val="false"/>
                <w:color w:val="222222"/>
                <w:sz w:val="19"/>
                <w:szCs w:val="19"/>
              </w:rPr>
              <w:t xml:space="preserve">OCR — handwriting</w:t>
            </w:r>
          </w:p>
        </w:tc>
        <w:tc>
          <w:tcPr>
            <w:tcW w:type="dxa" w:w="3600"/>
            <w:shd w:fill="EAF1EF" w:val="clear"/>
            <w:tcMar>
              <w:top w:type="dxa" w:w="80"/>
              <w:left w:type="dxa" w:w="110"/>
              <w:bottom w:type="dxa" w:w="80"/>
              <w:right w:type="dxa" w:w="110"/>
            </w:tcMar>
          </w:tcPr>
          <w:p>
            <w:r>
              <w:rPr>
                <w:b w:val="false"/>
                <w:bCs w:val="false"/>
                <w:color w:val="222222"/>
                <w:sz w:val="19"/>
                <w:szCs w:val="19"/>
              </w:rPr>
              <w:t xml:space="preserve">Fine-tuned open handwriting-recognition models (e.g., TrOCR-style / EasyOCR / Indic handwriting research models) as a starting point</w:t>
            </w:r>
          </w:p>
        </w:tc>
        <w:tc>
          <w:tcPr>
            <w:tcW w:type="dxa" w:w="3900"/>
            <w:shd w:fill="EAF1EF" w:val="clear"/>
            <w:tcMar>
              <w:top w:type="dxa" w:w="80"/>
              <w:left w:type="dxa" w:w="110"/>
              <w:bottom w:type="dxa" w:w="80"/>
              <w:right w:type="dxa" w:w="110"/>
            </w:tcMar>
          </w:tcPr>
          <w:p>
            <w:r>
              <w:rPr>
                <w:b w:val="false"/>
                <w:bCs w:val="false"/>
                <w:color w:val="222222"/>
                <w:sz w:val="19"/>
                <w:szCs w:val="19"/>
              </w:rPr>
              <w:t xml:space="preserve">Be realistic: legacy Indian-script handwriting OCR is an open research problem — pair with the human review queue rather than promising full automation</w:t>
            </w:r>
          </w:p>
        </w:tc>
      </w:tr>
      <w:tr>
        <w:tc>
          <w:tcPr>
            <w:tcW w:type="dxa" w:w="1750"/>
            <w:tcMar>
              <w:top w:type="dxa" w:w="80"/>
              <w:left w:type="dxa" w:w="110"/>
              <w:bottom w:type="dxa" w:w="80"/>
              <w:right w:type="dxa" w:w="110"/>
            </w:tcMar>
          </w:tcPr>
          <w:p>
            <w:r>
              <w:rPr>
                <w:b w:val="false"/>
                <w:bCs w:val="false"/>
                <w:color w:val="222222"/>
                <w:sz w:val="19"/>
                <w:szCs w:val="19"/>
              </w:rPr>
              <w:t xml:space="preserve">Layout/table detection</w:t>
            </w:r>
          </w:p>
        </w:tc>
        <w:tc>
          <w:tcPr>
            <w:tcW w:type="dxa" w:w="3600"/>
            <w:tcMar>
              <w:top w:type="dxa" w:w="80"/>
              <w:left w:type="dxa" w:w="110"/>
              <w:bottom w:type="dxa" w:w="80"/>
              <w:right w:type="dxa" w:w="110"/>
            </w:tcMar>
          </w:tcPr>
          <w:p>
            <w:r>
              <w:rPr>
                <w:b w:val="false"/>
                <w:bCs w:val="false"/>
                <w:color w:val="222222"/>
                <w:sz w:val="19"/>
                <w:szCs w:val="19"/>
              </w:rPr>
              <w:t xml:space="preserve">OpenCV, Detectron2, YOLO</w:t>
            </w:r>
          </w:p>
        </w:tc>
        <w:tc>
          <w:tcPr>
            <w:tcW w:type="dxa" w:w="3900"/>
            <w:tcMar>
              <w:top w:type="dxa" w:w="80"/>
              <w:left w:type="dxa" w:w="110"/>
              <w:bottom w:type="dxa" w:w="80"/>
              <w:right w:type="dxa" w:w="110"/>
            </w:tcMar>
          </w:tcPr>
          <w:p>
            <w:r>
              <w:rPr>
                <w:b w:val="false"/>
                <w:bCs w:val="false"/>
                <w:color w:val="222222"/>
                <w:sz w:val="19"/>
                <w:szCs w:val="19"/>
              </w:rPr>
              <w:t xml:space="preserve">As suggested in the PS; used to locate register columns/rows and map fields to positions</w:t>
            </w:r>
          </w:p>
        </w:tc>
      </w:tr>
      <w:tr>
        <w:tc>
          <w:tcPr>
            <w:tcW w:type="dxa" w:w="1750"/>
            <w:shd w:fill="EAF1EF" w:val="clear"/>
            <w:tcMar>
              <w:top w:type="dxa" w:w="80"/>
              <w:left w:type="dxa" w:w="110"/>
              <w:bottom w:type="dxa" w:w="80"/>
              <w:right w:type="dxa" w:w="110"/>
            </w:tcMar>
          </w:tcPr>
          <w:p>
            <w:r>
              <w:rPr>
                <w:b w:val="false"/>
                <w:bCs w:val="false"/>
                <w:color w:val="222222"/>
                <w:sz w:val="19"/>
                <w:szCs w:val="19"/>
              </w:rPr>
              <w:t xml:space="preserve">NLP / field classification</w:t>
            </w:r>
          </w:p>
        </w:tc>
        <w:tc>
          <w:tcPr>
            <w:tcW w:type="dxa" w:w="3600"/>
            <w:shd w:fill="EAF1EF" w:val="clear"/>
            <w:tcMar>
              <w:top w:type="dxa" w:w="80"/>
              <w:left w:type="dxa" w:w="110"/>
              <w:bottom w:type="dxa" w:w="80"/>
              <w:right w:type="dxa" w:w="110"/>
            </w:tcMar>
          </w:tcPr>
          <w:p>
            <w:r>
              <w:rPr>
                <w:b w:val="false"/>
                <w:bCs w:val="false"/>
                <w:color w:val="222222"/>
                <w:sz w:val="19"/>
                <w:szCs w:val="19"/>
              </w:rPr>
              <w:t xml:space="preserve">spaCy, Hugging Face Transformers, Indic NLP Library</w:t>
            </w:r>
          </w:p>
        </w:tc>
        <w:tc>
          <w:tcPr>
            <w:tcW w:type="dxa" w:w="3900"/>
            <w:shd w:fill="EAF1EF" w:val="clear"/>
            <w:tcMar>
              <w:top w:type="dxa" w:w="80"/>
              <w:left w:type="dxa" w:w="110"/>
              <w:bottom w:type="dxa" w:w="80"/>
              <w:right w:type="dxa" w:w="110"/>
            </w:tcMar>
          </w:tcPr>
          <w:p>
            <w:r>
              <w:rPr>
                <w:b w:val="false"/>
                <w:bCs w:val="false"/>
                <w:color w:val="222222"/>
                <w:sz w:val="19"/>
                <w:szCs w:val="19"/>
              </w:rPr>
              <w:t xml:space="preserve">Hybrid rule + ML approach for structured vs. free-text fields, as suggested in the PS</w:t>
            </w:r>
          </w:p>
        </w:tc>
      </w:tr>
      <w:tr>
        <w:tc>
          <w:tcPr>
            <w:tcW w:type="dxa" w:w="1750"/>
            <w:tcMar>
              <w:top w:type="dxa" w:w="80"/>
              <w:left w:type="dxa" w:w="110"/>
              <w:bottom w:type="dxa" w:w="80"/>
              <w:right w:type="dxa" w:w="110"/>
            </w:tcMar>
          </w:tcPr>
          <w:p>
            <w:r>
              <w:rPr>
                <w:b w:val="false"/>
                <w:bCs w:val="false"/>
                <w:color w:val="222222"/>
                <w:sz w:val="19"/>
                <w:szCs w:val="19"/>
              </w:rPr>
              <w:t xml:space="preserve">Database</w:t>
            </w:r>
          </w:p>
        </w:tc>
        <w:tc>
          <w:tcPr>
            <w:tcW w:type="dxa" w:w="3600"/>
            <w:tcMar>
              <w:top w:type="dxa" w:w="80"/>
              <w:left w:type="dxa" w:w="110"/>
              <w:bottom w:type="dxa" w:w="80"/>
              <w:right w:type="dxa" w:w="110"/>
            </w:tcMar>
          </w:tcPr>
          <w:p>
            <w:r>
              <w:rPr>
                <w:b w:val="false"/>
                <w:bCs w:val="false"/>
                <w:color w:val="222222"/>
                <w:sz w:val="19"/>
                <w:szCs w:val="19"/>
              </w:rPr>
              <w:t xml:space="preserve">PostgreSQL with PostGIS</w:t>
            </w:r>
          </w:p>
        </w:tc>
        <w:tc>
          <w:tcPr>
            <w:tcW w:type="dxa" w:w="3900"/>
            <w:tcMar>
              <w:top w:type="dxa" w:w="80"/>
              <w:left w:type="dxa" w:w="110"/>
              <w:bottom w:type="dxa" w:w="80"/>
              <w:right w:type="dxa" w:w="110"/>
            </w:tcMar>
          </w:tcPr>
          <w:p>
            <w:r>
              <w:rPr>
                <w:b w:val="false"/>
                <w:bCs w:val="false"/>
                <w:color w:val="222222"/>
                <w:sz w:val="19"/>
                <w:szCs w:val="19"/>
              </w:rPr>
              <w:t xml:space="preserve">Structured land-record data plus spatial queries for plot geometry, as suggested in the PS</w:t>
            </w:r>
          </w:p>
        </w:tc>
      </w:tr>
      <w:tr>
        <w:tc>
          <w:tcPr>
            <w:tcW w:type="dxa" w:w="1750"/>
            <w:shd w:fill="EAF1EF" w:val="clear"/>
            <w:tcMar>
              <w:top w:type="dxa" w:w="80"/>
              <w:left w:type="dxa" w:w="110"/>
              <w:bottom w:type="dxa" w:w="80"/>
              <w:right w:type="dxa" w:w="110"/>
            </w:tcMar>
          </w:tcPr>
          <w:p>
            <w:r>
              <w:rPr>
                <w:b w:val="false"/>
                <w:bCs w:val="false"/>
                <w:color w:val="222222"/>
                <w:sz w:val="19"/>
                <w:szCs w:val="19"/>
              </w:rPr>
              <w:t xml:space="preserve">Object storage</w:t>
            </w:r>
          </w:p>
        </w:tc>
        <w:tc>
          <w:tcPr>
            <w:tcW w:type="dxa" w:w="3600"/>
            <w:shd w:fill="EAF1EF" w:val="clear"/>
            <w:tcMar>
              <w:top w:type="dxa" w:w="80"/>
              <w:left w:type="dxa" w:w="110"/>
              <w:bottom w:type="dxa" w:w="80"/>
              <w:right w:type="dxa" w:w="110"/>
            </w:tcMar>
          </w:tcPr>
          <w:p>
            <w:r>
              <w:rPr>
                <w:b w:val="false"/>
                <w:bCs w:val="false"/>
                <w:color w:val="222222"/>
                <w:sz w:val="19"/>
                <w:szCs w:val="19"/>
              </w:rPr>
              <w:t xml:space="preserve">S3-compatible storage / govt cloud storage</w:t>
            </w:r>
          </w:p>
        </w:tc>
        <w:tc>
          <w:tcPr>
            <w:tcW w:type="dxa" w:w="3900"/>
            <w:shd w:fill="EAF1EF" w:val="clear"/>
            <w:tcMar>
              <w:top w:type="dxa" w:w="80"/>
              <w:left w:type="dxa" w:w="110"/>
              <w:bottom w:type="dxa" w:w="80"/>
              <w:right w:type="dxa" w:w="110"/>
            </w:tcMar>
          </w:tcPr>
          <w:p>
            <w:r>
              <w:rPr>
                <w:b w:val="false"/>
                <w:bCs w:val="false"/>
                <w:color w:val="222222"/>
                <w:sz w:val="19"/>
                <w:szCs w:val="19"/>
              </w:rPr>
              <w:t xml:space="preserve">Immutable retention of original scans linked to each digitized record</w:t>
            </w:r>
          </w:p>
        </w:tc>
      </w:tr>
      <w:tr>
        <w:tc>
          <w:tcPr>
            <w:tcW w:type="dxa" w:w="1750"/>
            <w:tcMar>
              <w:top w:type="dxa" w:w="80"/>
              <w:left w:type="dxa" w:w="110"/>
              <w:bottom w:type="dxa" w:w="80"/>
              <w:right w:type="dxa" w:w="110"/>
            </w:tcMar>
          </w:tcPr>
          <w:p>
            <w:r>
              <w:rPr>
                <w:b w:val="false"/>
                <w:bCs w:val="false"/>
                <w:color w:val="222222"/>
                <w:sz w:val="19"/>
                <w:szCs w:val="19"/>
              </w:rPr>
              <w:t xml:space="preserve">GIS platform</w:t>
            </w:r>
          </w:p>
        </w:tc>
        <w:tc>
          <w:tcPr>
            <w:tcW w:type="dxa" w:w="3600"/>
            <w:tcMar>
              <w:top w:type="dxa" w:w="80"/>
              <w:left w:type="dxa" w:w="110"/>
              <w:bottom w:type="dxa" w:w="80"/>
              <w:right w:type="dxa" w:w="110"/>
            </w:tcMar>
          </w:tcPr>
          <w:p>
            <w:r>
              <w:rPr>
                <w:b w:val="false"/>
                <w:bCs w:val="false"/>
                <w:color w:val="222222"/>
                <w:sz w:val="19"/>
                <w:szCs w:val="19"/>
              </w:rPr>
              <w:t xml:space="preserve">GeoServer, OpenLayers, Leaflet, QGIS</w:t>
            </w:r>
          </w:p>
        </w:tc>
        <w:tc>
          <w:tcPr>
            <w:tcW w:type="dxa" w:w="3900"/>
            <w:tcMar>
              <w:top w:type="dxa" w:w="80"/>
              <w:left w:type="dxa" w:w="110"/>
              <w:bottom w:type="dxa" w:w="80"/>
              <w:right w:type="dxa" w:w="110"/>
            </w:tcMar>
          </w:tcPr>
          <w:p>
            <w:r>
              <w:rPr>
                <w:b w:val="false"/>
                <w:bCs w:val="false"/>
                <w:color w:val="222222"/>
                <w:sz w:val="19"/>
                <w:szCs w:val="19"/>
              </w:rPr>
              <w:t xml:space="preserve">As suggested in the PS; demoed with sample shapefiles/cadastral data for the prototype</w:t>
            </w:r>
          </w:p>
        </w:tc>
      </w:tr>
      <w:tr>
        <w:tc>
          <w:tcPr>
            <w:tcW w:type="dxa" w:w="1750"/>
            <w:shd w:fill="EAF1EF" w:val="clear"/>
            <w:tcMar>
              <w:top w:type="dxa" w:w="80"/>
              <w:left w:type="dxa" w:w="110"/>
              <w:bottom w:type="dxa" w:w="80"/>
              <w:right w:type="dxa" w:w="110"/>
            </w:tcMar>
          </w:tcPr>
          <w:p>
            <w:r>
              <w:rPr>
                <w:b w:val="false"/>
                <w:bCs w:val="false"/>
                <w:color w:val="222222"/>
                <w:sz w:val="19"/>
                <w:szCs w:val="19"/>
              </w:rPr>
              <w:t xml:space="preserve">APIs / integration</w:t>
            </w:r>
          </w:p>
        </w:tc>
        <w:tc>
          <w:tcPr>
            <w:tcW w:type="dxa" w:w="3600"/>
            <w:shd w:fill="EAF1EF" w:val="clear"/>
            <w:tcMar>
              <w:top w:type="dxa" w:w="80"/>
              <w:left w:type="dxa" w:w="110"/>
              <w:bottom w:type="dxa" w:w="80"/>
              <w:right w:type="dxa" w:w="110"/>
            </w:tcMar>
          </w:tcPr>
          <w:p>
            <w:r>
              <w:rPr>
                <w:b w:val="false"/>
                <w:bCs w:val="false"/>
                <w:color w:val="222222"/>
                <w:sz w:val="19"/>
                <w:szCs w:val="19"/>
              </w:rPr>
              <w:t xml:space="preserve">RESTful APIs (GraphQL optional), adapter pattern per external system</w:t>
            </w:r>
          </w:p>
        </w:tc>
        <w:tc>
          <w:tcPr>
            <w:tcW w:type="dxa" w:w="3900"/>
            <w:shd w:fill="EAF1EF" w:val="clear"/>
            <w:tcMar>
              <w:top w:type="dxa" w:w="80"/>
              <w:left w:type="dxa" w:w="110"/>
              <w:bottom w:type="dxa" w:w="80"/>
              <w:right w:type="dxa" w:w="110"/>
            </w:tcMar>
          </w:tcPr>
          <w:p>
            <w:r>
              <w:rPr>
                <w:b w:val="false"/>
                <w:bCs w:val="false"/>
                <w:color w:val="222222"/>
                <w:sz w:val="19"/>
                <w:szCs w:val="19"/>
              </w:rPr>
              <w:t xml:space="preserve">Mock LRMS/DILRMP endpoints for the hackathon; document the adapter contract for real integration later</w:t>
            </w:r>
          </w:p>
        </w:tc>
      </w:tr>
      <w:tr>
        <w:tc>
          <w:tcPr>
            <w:tcW w:type="dxa" w:w="1750"/>
            <w:tcMar>
              <w:top w:type="dxa" w:w="80"/>
              <w:left w:type="dxa" w:w="110"/>
              <w:bottom w:type="dxa" w:w="80"/>
              <w:right w:type="dxa" w:w="110"/>
            </w:tcMar>
          </w:tcPr>
          <w:p>
            <w:r>
              <w:rPr>
                <w:b w:val="false"/>
                <w:bCs w:val="false"/>
                <w:color w:val="222222"/>
                <w:sz w:val="19"/>
                <w:szCs w:val="19"/>
              </w:rPr>
              <w:t xml:space="preserve">Cloud / deployment</w:t>
            </w:r>
          </w:p>
        </w:tc>
        <w:tc>
          <w:tcPr>
            <w:tcW w:type="dxa" w:w="3600"/>
            <w:tcMar>
              <w:top w:type="dxa" w:w="80"/>
              <w:left w:type="dxa" w:w="110"/>
              <w:bottom w:type="dxa" w:w="80"/>
              <w:right w:type="dxa" w:w="110"/>
            </w:tcMar>
          </w:tcPr>
          <w:p>
            <w:r>
              <w:rPr>
                <w:b w:val="false"/>
                <w:bCs w:val="false"/>
                <w:color w:val="222222"/>
                <w:sz w:val="19"/>
                <w:szCs w:val="19"/>
              </w:rPr>
              <w:t xml:space="preserve">NIC Cloud (MeghRaj) / govt cloud for production; any Docker/Kubernetes-capable cloud for the demo</w:t>
            </w:r>
          </w:p>
        </w:tc>
        <w:tc>
          <w:tcPr>
            <w:tcW w:type="dxa" w:w="3900"/>
            <w:tcMar>
              <w:top w:type="dxa" w:w="80"/>
              <w:left w:type="dxa" w:w="110"/>
              <w:bottom w:type="dxa" w:w="80"/>
              <w:right w:type="dxa" w:w="110"/>
            </w:tcMar>
          </w:tcPr>
          <w:p>
            <w:r>
              <w:rPr>
                <w:b w:val="false"/>
                <w:bCs w:val="false"/>
                <w:color w:val="222222"/>
                <w:sz w:val="19"/>
                <w:szCs w:val="19"/>
              </w:rPr>
              <w:t xml:space="preserve">Data residency matters for production government revenue data — call this out explicitly to judges</w:t>
            </w:r>
          </w:p>
        </w:tc>
      </w:tr>
      <w:tr>
        <w:tc>
          <w:tcPr>
            <w:tcW w:type="dxa" w:w="1750"/>
            <w:shd w:fill="EAF1EF" w:val="clear"/>
            <w:tcMar>
              <w:top w:type="dxa" w:w="80"/>
              <w:left w:type="dxa" w:w="110"/>
              <w:bottom w:type="dxa" w:w="80"/>
              <w:right w:type="dxa" w:w="110"/>
            </w:tcMar>
          </w:tcPr>
          <w:p>
            <w:r>
              <w:rPr>
                <w:b w:val="false"/>
                <w:bCs w:val="false"/>
                <w:color w:val="222222"/>
                <w:sz w:val="19"/>
                <w:szCs w:val="19"/>
              </w:rPr>
              <w:t xml:space="preserve">Dashboards / analytics</w:t>
            </w:r>
          </w:p>
        </w:tc>
        <w:tc>
          <w:tcPr>
            <w:tcW w:type="dxa" w:w="3600"/>
            <w:shd w:fill="EAF1EF" w:val="clear"/>
            <w:tcMar>
              <w:top w:type="dxa" w:w="80"/>
              <w:left w:type="dxa" w:w="110"/>
              <w:bottom w:type="dxa" w:w="80"/>
              <w:right w:type="dxa" w:w="110"/>
            </w:tcMar>
          </w:tcPr>
          <w:p>
            <w:r>
              <w:rPr>
                <w:b w:val="false"/>
                <w:bCs w:val="false"/>
                <w:color w:val="222222"/>
                <w:sz w:val="19"/>
                <w:szCs w:val="19"/>
              </w:rPr>
              <w:t xml:space="preserve">Apache Superset, Grafana, or Plotly</w:t>
            </w:r>
          </w:p>
        </w:tc>
        <w:tc>
          <w:tcPr>
            <w:tcW w:type="dxa" w:w="3900"/>
            <w:shd w:fill="EAF1EF" w:val="clear"/>
            <w:tcMar>
              <w:top w:type="dxa" w:w="80"/>
              <w:left w:type="dxa" w:w="110"/>
              <w:bottom w:type="dxa" w:w="80"/>
              <w:right w:type="dxa" w:w="110"/>
            </w:tcMar>
          </w:tcPr>
          <w:p>
            <w:r>
              <w:rPr>
                <w:b w:val="false"/>
                <w:bCs w:val="false"/>
                <w:color w:val="222222"/>
                <w:sz w:val="19"/>
                <w:szCs w:val="19"/>
              </w:rPr>
              <w:t xml:space="preserve">As suggested in the PS; feed from the same Postgres data processed during the demo</w:t>
            </w:r>
          </w:p>
        </w:tc>
      </w:tr>
      <w:tr>
        <w:tc>
          <w:tcPr>
            <w:tcW w:type="dxa" w:w="1750"/>
            <w:tcMar>
              <w:top w:type="dxa" w:w="80"/>
              <w:left w:type="dxa" w:w="110"/>
              <w:bottom w:type="dxa" w:w="80"/>
              <w:right w:type="dxa" w:w="110"/>
            </w:tcMar>
          </w:tcPr>
          <w:p>
            <w:r>
              <w:rPr>
                <w:b w:val="false"/>
                <w:bCs w:val="false"/>
                <w:color w:val="222222"/>
                <w:sz w:val="19"/>
                <w:szCs w:val="19"/>
              </w:rPr>
              <w:t xml:space="preserve">Auth / security</w:t>
            </w:r>
          </w:p>
        </w:tc>
        <w:tc>
          <w:tcPr>
            <w:tcW w:type="dxa" w:w="3600"/>
            <w:tcMar>
              <w:top w:type="dxa" w:w="80"/>
              <w:left w:type="dxa" w:w="110"/>
              <w:bottom w:type="dxa" w:w="80"/>
              <w:right w:type="dxa" w:w="110"/>
            </w:tcMar>
          </w:tcPr>
          <w:p>
            <w:r>
              <w:rPr>
                <w:b w:val="false"/>
                <w:bCs w:val="false"/>
                <w:color w:val="222222"/>
                <w:sz w:val="19"/>
                <w:szCs w:val="19"/>
              </w:rPr>
              <w:t xml:space="preserve">OAuth2/JWT, RBAC, TLS in transit, encryption at rest</w:t>
            </w:r>
          </w:p>
        </w:tc>
        <w:tc>
          <w:tcPr>
            <w:tcW w:type="dxa" w:w="3900"/>
            <w:tcMar>
              <w:top w:type="dxa" w:w="80"/>
              <w:left w:type="dxa" w:w="110"/>
              <w:bottom w:type="dxa" w:w="80"/>
              <w:right w:type="dxa" w:w="110"/>
            </w:tcMar>
          </w:tcPr>
          <w:p>
            <w:r>
              <w:rPr>
                <w:b w:val="false"/>
                <w:bCs w:val="false"/>
                <w:color w:val="222222"/>
                <w:sz w:val="19"/>
                <w:szCs w:val="19"/>
              </w:rPr>
              <w:t xml:space="preserve">Role-based access control was explicitly requested in the PS</w:t>
            </w:r>
          </w:p>
        </w:tc>
      </w:tr>
    </w:tbl>
    <w:p>
      <w:pPr>
        <w:pStyle w:val="Heading2"/>
        <w:spacing w:after="120" w:before="260"/>
      </w:pPr>
      <w:r>
        <w:rPr>
          <w:b/>
          <w:bCs/>
          <w:color w:val="0F6B5C"/>
          <w:sz w:val="24"/>
          <w:szCs w:val="24"/>
        </w:rPr>
        <w:t xml:space="preserve">6.3 AI/ML pipeline detail</w:t>
      </w:r>
    </w:p>
    <w:p>
      <w:pPr>
        <w:pStyle w:val="ListParagraph"/>
        <w:numPr>
          <w:ilvl w:val="0"/>
          <w:numId w:val="3"/>
        </w:numPr>
        <w:spacing w:after="80" w:line="290"/>
      </w:pPr>
      <w:r>
        <w:rPr>
          <w:sz w:val="21"/>
          <w:szCs w:val="21"/>
        </w:rPr>
        <w:t xml:space="preserve">Pre-processing: deskew, denoise, binarize the scanned page.</w:t>
      </w:r>
    </w:p>
    <w:p>
      <w:pPr>
        <w:pStyle w:val="ListParagraph"/>
        <w:numPr>
          <w:ilvl w:val="0"/>
          <w:numId w:val="3"/>
        </w:numPr>
        <w:spacing w:after="80" w:line="290"/>
      </w:pPr>
      <w:r>
        <w:rPr>
          <w:sz w:val="21"/>
          <w:szCs w:val="21"/>
        </w:rPr>
        <w:t xml:space="preserve">Layout/table detection: locate register rows/columns and field regions.</w:t>
      </w:r>
    </w:p>
    <w:p>
      <w:pPr>
        <w:pStyle w:val="ListParagraph"/>
        <w:numPr>
          <w:ilvl w:val="0"/>
          <w:numId w:val="3"/>
        </w:numPr>
        <w:spacing w:after="80" w:line="290"/>
      </w:pPr>
      <w:r>
        <w:rPr>
          <w:sz w:val="21"/>
          <w:szCs w:val="21"/>
        </w:rPr>
        <w:t xml:space="preserve">Printed-vs-handwritten classification: routes each region to the right OCR model.</w:t>
      </w:r>
    </w:p>
    <w:p>
      <w:pPr>
        <w:pStyle w:val="ListParagraph"/>
        <w:numPr>
          <w:ilvl w:val="0"/>
          <w:numId w:val="3"/>
        </w:numPr>
        <w:spacing w:after="80" w:line="290"/>
      </w:pPr>
      <w:r>
        <w:rPr>
          <w:sz w:val="21"/>
          <w:szCs w:val="21"/>
        </w:rPr>
        <w:t xml:space="preserve">OCR/text recognition: printed-text OCR or handwriting-recognition model, per region.</w:t>
      </w:r>
    </w:p>
    <w:p>
      <w:pPr>
        <w:pStyle w:val="ListParagraph"/>
        <w:numPr>
          <w:ilvl w:val="0"/>
          <w:numId w:val="3"/>
        </w:numPr>
        <w:spacing w:after="80" w:line="290"/>
      </w:pPr>
      <w:r>
        <w:rPr>
          <w:sz w:val="21"/>
          <w:szCs w:val="21"/>
        </w:rPr>
        <w:t xml:space="preserve">Field mapping (NLP/NER): recognized text mapped to the schema (owner, survey/khasra/khata number, area, village/tehsil/district, classification, mutation/registration info).</w:t>
      </w:r>
    </w:p>
    <w:p>
      <w:pPr>
        <w:pStyle w:val="ListParagraph"/>
        <w:numPr>
          <w:ilvl w:val="0"/>
          <w:numId w:val="3"/>
        </w:numPr>
        <w:spacing w:after="80" w:line="290"/>
      </w:pPr>
      <w:r>
        <w:rPr>
          <w:sz w:val="21"/>
          <w:szCs w:val="21"/>
        </w:rPr>
        <w:t xml:space="preserve">Confidence scoring: combines OCR engine confidence with rule-consistency checks (e.g., does the value fit the expected format/range) into a single per-field score.</w:t>
      </w:r>
    </w:p>
    <w:p>
      <w:pPr>
        <w:pStyle w:val="ListParagraph"/>
        <w:numPr>
          <w:ilvl w:val="0"/>
          <w:numId w:val="3"/>
        </w:numPr>
        <w:spacing w:after="80" w:line="290"/>
      </w:pPr>
      <w:r>
        <w:rPr>
          <w:sz w:val="21"/>
          <w:szCs w:val="21"/>
        </w:rPr>
        <w:t xml:space="preserve">Routing: high-confidence fields auto-populate; low-confidence fields are queued for operator review with the original scan region highlighted.</w:t>
      </w:r>
    </w:p>
    <w:p>
      <w:pPr>
        <w:pStyle w:val="ListParagraph"/>
        <w:numPr>
          <w:ilvl w:val="0"/>
          <w:numId w:val="3"/>
        </w:numPr>
        <w:spacing w:after="80" w:line="290"/>
      </w:pPr>
      <w:r>
        <w:rPr>
          <w:sz w:val="21"/>
          <w:szCs w:val="21"/>
        </w:rPr>
        <w:t xml:space="preserve">Feedback capture: operator corrections are logged as labelled examples for periodic retraining — the active-learning loop that improves accuracy release over release.</w:t>
      </w:r>
    </w:p>
    <w:p>
      <w:pPr>
        <w:pStyle w:val="Heading2"/>
        <w:spacing w:after="120" w:before="260"/>
      </w:pPr>
      <w:r>
        <w:rPr>
          <w:b/>
          <w:bCs/>
          <w:color w:val="0F6B5C"/>
          <w:sz w:val="24"/>
          <w:szCs w:val="24"/>
        </w:rPr>
        <w:t xml:space="preserve">6.4 Data model (core entities)</w:t>
      </w:r>
    </w:p>
    <w:p>
      <w:pPr>
        <w:pStyle w:val="ListParagraph"/>
        <w:numPr>
          <w:ilvl w:val="0"/>
          <w:numId w:val="2"/>
        </w:numPr>
        <w:spacing w:after="80" w:line="290"/>
      </w:pPr>
      <w:r>
        <w:rPr>
          <w:sz w:val="21"/>
          <w:szCs w:val="21"/>
        </w:rPr>
        <w:t xml:space="preserve">Document — the uploaded scan/PDF, its batch, and processing status</w:t>
      </w:r>
    </w:p>
    <w:p>
      <w:pPr>
        <w:pStyle w:val="ListParagraph"/>
        <w:numPr>
          <w:ilvl w:val="0"/>
          <w:numId w:val="2"/>
        </w:numPr>
        <w:spacing w:after="80" w:line="290"/>
      </w:pPr>
      <w:r>
        <w:rPr>
          <w:sz w:val="21"/>
          <w:szCs w:val="21"/>
        </w:rPr>
        <w:t xml:space="preserve">ExtractedRecord — the structured field values for a document, each with a confidence score and source (auto / operator-corrected)</w:t>
      </w:r>
    </w:p>
    <w:p>
      <w:pPr>
        <w:pStyle w:val="ListParagraph"/>
        <w:numPr>
          <w:ilvl w:val="0"/>
          <w:numId w:val="2"/>
        </w:numPr>
        <w:spacing w:after="80" w:line="290"/>
      </w:pPr>
      <w:r>
        <w:rPr>
          <w:sz w:val="21"/>
          <w:szCs w:val="21"/>
        </w:rPr>
        <w:t xml:space="preserve">ValidationResult — outcome of rule checks and duplicate/master-data cross-checks for a record</w:t>
      </w:r>
    </w:p>
    <w:p>
      <w:pPr>
        <w:pStyle w:val="ListParagraph"/>
        <w:numPr>
          <w:ilvl w:val="0"/>
          <w:numId w:val="2"/>
        </w:numPr>
        <w:spacing w:after="80" w:line="290"/>
      </w:pPr>
      <w:r>
        <w:rPr>
          <w:sz w:val="21"/>
          <w:szCs w:val="21"/>
        </w:rPr>
        <w:t xml:space="preserve">ReviewAction / AuditLogEntry — append-only log of every extraction, correction, and approval, with user and timestamp</w:t>
      </w:r>
    </w:p>
    <w:p>
      <w:pPr>
        <w:pStyle w:val="ListParagraph"/>
        <w:numPr>
          <w:ilvl w:val="0"/>
          <w:numId w:val="2"/>
        </w:numPr>
        <w:spacing w:after="80" w:line="290"/>
      </w:pPr>
      <w:r>
        <w:rPr>
          <w:sz w:val="21"/>
          <w:szCs w:val="21"/>
        </w:rPr>
        <w:t xml:space="preserve">MasterReference — village / tehsil / district gazetteer used for cross-checking</w:t>
      </w:r>
    </w:p>
    <w:p>
      <w:pPr>
        <w:pStyle w:val="ListParagraph"/>
        <w:numPr>
          <w:ilvl w:val="0"/>
          <w:numId w:val="2"/>
        </w:numPr>
        <w:spacing w:after="80" w:line="290"/>
      </w:pPr>
      <w:r>
        <w:rPr>
          <w:sz w:val="21"/>
          <w:szCs w:val="21"/>
        </w:rPr>
        <w:t xml:space="preserve">MutationRecord — linked ownership-change history for a plot</w:t>
      </w:r>
    </w:p>
    <w:p>
      <w:pPr>
        <w:pStyle w:val="ListParagraph"/>
        <w:numPr>
          <w:ilvl w:val="0"/>
          <w:numId w:val="2"/>
        </w:numPr>
        <w:spacing w:after="80" w:line="290"/>
      </w:pPr>
      <w:r>
        <w:rPr>
          <w:sz w:val="21"/>
          <w:szCs w:val="21"/>
        </w:rPr>
        <w:t xml:space="preserve">User / Role — operator, officer, admin, integration-service accounts, with scoped permissions</w:t>
      </w:r>
    </w:p>
    <w:p>
      <w:pPr>
        <w:pStyle w:val="Heading2"/>
        <w:spacing w:after="120" w:before="260"/>
      </w:pPr>
      <w:r>
        <w:rPr>
          <w:b/>
          <w:bCs/>
          <w:color w:val="0F6B5C"/>
          <w:sz w:val="24"/>
          <w:szCs w:val="24"/>
        </w:rPr>
        <w:t xml:space="preserve">6.5 Optional automation layer — n8n (roadmap / nice-to-have)</w:t>
      </w:r>
    </w:p>
    <w:p>
      <w:pPr>
        <w:spacing w:after="140" w:line="300"/>
      </w:pPr>
      <w:r>
        <w:rPr>
          <w:color w:val="222222"/>
          <w:sz w:val="21"/>
          <w:szCs w:val="21"/>
        </w:rPr>
        <w:t xml:space="preserve">n8n (a low-code workflow-automation tool) is deliberately kept outside the core system rather than embedded in it: the FastAPI backend remains the single source of truth for workflow state, validation, and the LRMS integration adapter. n8n is added as a second, independent consumer of a small number of outbound webhook events the backend already knows about — this keeps core logic simple and testable, and lets a separate sub-team own the automation layer without touching backend code once the webhooks are wired.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1F3864" w:val="clear"/>
            <w:tcMar>
              <w:top w:type="dxa" w:w="80"/>
              <w:left w:type="dxa" w:w="110"/>
              <w:bottom w:type="dxa" w:w="80"/>
              <w:right w:type="dxa" w:w="110"/>
            </w:tcMar>
          </w:tcPr>
          <w:p>
            <w:r>
              <w:rPr>
                <w:b/>
                <w:bCs/>
                <w:color w:val="FFFFFF"/>
                <w:sz w:val="19"/>
                <w:szCs w:val="19"/>
              </w:rPr>
              <w:t xml:space="preserve">Workflow</w:t>
            </w:r>
          </w:p>
        </w:tc>
        <w:tc>
          <w:tcPr>
            <w:tcW w:type="dxa" w:w="3200"/>
            <w:shd w:fill="1F3864" w:val="clear"/>
            <w:tcMar>
              <w:top w:type="dxa" w:w="80"/>
              <w:left w:type="dxa" w:w="110"/>
              <w:bottom w:type="dxa" w:w="80"/>
              <w:right w:type="dxa" w:w="110"/>
            </w:tcMar>
          </w:tcPr>
          <w:p>
            <w:r>
              <w:rPr>
                <w:b/>
                <w:bCs/>
                <w:color w:val="FFFFFF"/>
                <w:sz w:val="19"/>
                <w:szCs w:val="19"/>
              </w:rPr>
              <w:t xml:space="preserve">Trigger</w:t>
            </w:r>
          </w:p>
        </w:tc>
        <w:tc>
          <w:tcPr>
            <w:tcW w:type="dxa" w:w="3550"/>
            <w:shd w:fill="1F3864" w:val="clear"/>
            <w:tcMar>
              <w:top w:type="dxa" w:w="80"/>
              <w:left w:type="dxa" w:w="110"/>
              <w:bottom w:type="dxa" w:w="80"/>
              <w:right w:type="dxa" w:w="110"/>
            </w:tcMar>
          </w:tcPr>
          <w:p>
            <w:r>
              <w:rPr>
                <w:b/>
                <w:bCs/>
                <w:color w:val="FFFFFF"/>
                <w:sz w:val="19"/>
                <w:szCs w:val="19"/>
              </w:rPr>
              <w:t xml:space="preserve">Action</w:t>
            </w:r>
          </w:p>
        </w:tc>
      </w:tr>
      <w:tr>
        <w:tc>
          <w:tcPr>
            <w:tcW w:type="dxa" w:w="2600"/>
            <w:tcMar>
              <w:top w:type="dxa" w:w="80"/>
              <w:left w:type="dxa" w:w="110"/>
              <w:bottom w:type="dxa" w:w="80"/>
              <w:right w:type="dxa" w:w="110"/>
            </w:tcMar>
          </w:tcPr>
          <w:p>
            <w:r>
              <w:rPr>
                <w:b w:val="false"/>
                <w:bCs w:val="false"/>
                <w:color w:val="222222"/>
                <w:sz w:val="19"/>
                <w:szCs w:val="19"/>
              </w:rPr>
              <w:t xml:space="preserve">Approval / rejection notifier</w:t>
            </w:r>
          </w:p>
        </w:tc>
        <w:tc>
          <w:tcPr>
            <w:tcW w:type="dxa" w:w="3200"/>
            <w:tcMar>
              <w:top w:type="dxa" w:w="80"/>
              <w:left w:type="dxa" w:w="110"/>
              <w:bottom w:type="dxa" w:w="80"/>
              <w:right w:type="dxa" w:w="110"/>
            </w:tcMar>
          </w:tcPr>
          <w:p>
            <w:r>
              <w:rPr>
                <w:b w:val="false"/>
                <w:bCs w:val="false"/>
                <w:color w:val="222222"/>
                <w:sz w:val="19"/>
                <w:szCs w:val="19"/>
              </w:rPr>
              <w:t xml:space="preserve">Backend webhook on approve or reject</w:t>
            </w:r>
          </w:p>
        </w:tc>
        <w:tc>
          <w:tcPr>
            <w:tcW w:type="dxa" w:w="3550"/>
            <w:tcMar>
              <w:top w:type="dxa" w:w="80"/>
              <w:left w:type="dxa" w:w="110"/>
              <w:bottom w:type="dxa" w:w="80"/>
              <w:right w:type="dxa" w:w="110"/>
            </w:tcMar>
          </w:tcPr>
          <w:p>
            <w:r>
              <w:rPr>
                <w:b w:val="false"/>
                <w:bCs w:val="false"/>
                <w:color w:val="222222"/>
                <w:sz w:val="19"/>
                <w:szCs w:val="19"/>
              </w:rPr>
              <w:t xml:space="preserve">Email/SMS to the relevant operator or officer</w:t>
            </w:r>
          </w:p>
        </w:tc>
      </w:tr>
      <w:tr>
        <w:tc>
          <w:tcPr>
            <w:tcW w:type="dxa" w:w="2600"/>
            <w:shd w:fill="EAF1EF" w:val="clear"/>
            <w:tcMar>
              <w:top w:type="dxa" w:w="80"/>
              <w:left w:type="dxa" w:w="110"/>
              <w:bottom w:type="dxa" w:w="80"/>
              <w:right w:type="dxa" w:w="110"/>
            </w:tcMar>
          </w:tcPr>
          <w:p>
            <w:r>
              <w:rPr>
                <w:b w:val="false"/>
                <w:bCs w:val="false"/>
                <w:color w:val="222222"/>
                <w:sz w:val="19"/>
                <w:szCs w:val="19"/>
              </w:rPr>
              <w:t xml:space="preserve">Stale review watchdog</w:t>
            </w:r>
          </w:p>
        </w:tc>
        <w:tc>
          <w:tcPr>
            <w:tcW w:type="dxa" w:w="3200"/>
            <w:shd w:fill="EAF1EF" w:val="clear"/>
            <w:tcMar>
              <w:top w:type="dxa" w:w="80"/>
              <w:left w:type="dxa" w:w="110"/>
              <w:bottom w:type="dxa" w:w="80"/>
              <w:right w:type="dxa" w:w="110"/>
            </w:tcMar>
          </w:tcPr>
          <w:p>
            <w:r>
              <w:rPr>
                <w:b w:val="false"/>
                <w:bCs w:val="false"/>
                <w:color w:val="222222"/>
                <w:sz w:val="19"/>
                <w:szCs w:val="19"/>
              </w:rPr>
              <w:t xml:space="preserve">n8n Cron node, runs every few hours</w:t>
            </w:r>
          </w:p>
        </w:tc>
        <w:tc>
          <w:tcPr>
            <w:tcW w:type="dxa" w:w="3550"/>
            <w:shd w:fill="EAF1EF" w:val="clear"/>
            <w:tcMar>
              <w:top w:type="dxa" w:w="80"/>
              <w:left w:type="dxa" w:w="110"/>
              <w:bottom w:type="dxa" w:w="80"/>
              <w:right w:type="dxa" w:w="110"/>
            </w:tcMar>
          </w:tcPr>
          <w:p>
            <w:r>
              <w:rPr>
                <w:b w:val="false"/>
                <w:bCs w:val="false"/>
                <w:color w:val="222222"/>
                <w:sz w:val="19"/>
                <w:szCs w:val="19"/>
              </w:rPr>
              <w:t xml:space="preserve">Calls GET /documents?status=needs_review; alerts admin (Slack/email) if any record has sat untouched 3+ days</w:t>
            </w:r>
          </w:p>
        </w:tc>
      </w:tr>
      <w:tr>
        <w:tc>
          <w:tcPr>
            <w:tcW w:type="dxa" w:w="2600"/>
            <w:tcMar>
              <w:top w:type="dxa" w:w="80"/>
              <w:left w:type="dxa" w:w="110"/>
              <w:bottom w:type="dxa" w:w="80"/>
              <w:right w:type="dxa" w:w="110"/>
            </w:tcMar>
          </w:tcPr>
          <w:p>
            <w:r>
              <w:rPr>
                <w:b w:val="false"/>
                <w:bCs w:val="false"/>
                <w:color w:val="222222"/>
                <w:sz w:val="19"/>
                <w:szCs w:val="19"/>
              </w:rPr>
              <w:t xml:space="preserve">Approved-record logger</w:t>
            </w:r>
          </w:p>
        </w:tc>
        <w:tc>
          <w:tcPr>
            <w:tcW w:type="dxa" w:w="3200"/>
            <w:tcMar>
              <w:top w:type="dxa" w:w="80"/>
              <w:left w:type="dxa" w:w="110"/>
              <w:bottom w:type="dxa" w:w="80"/>
              <w:right w:type="dxa" w:w="110"/>
            </w:tcMar>
          </w:tcPr>
          <w:p>
            <w:r>
              <w:rPr>
                <w:b w:val="false"/>
                <w:bCs w:val="false"/>
                <w:color w:val="222222"/>
                <w:sz w:val="19"/>
                <w:szCs w:val="19"/>
              </w:rPr>
              <w:t xml:space="preserve">Backend webhook on approve</w:t>
            </w:r>
          </w:p>
        </w:tc>
        <w:tc>
          <w:tcPr>
            <w:tcW w:type="dxa" w:w="3550"/>
            <w:tcMar>
              <w:top w:type="dxa" w:w="80"/>
              <w:left w:type="dxa" w:w="110"/>
              <w:bottom w:type="dxa" w:w="80"/>
              <w:right w:type="dxa" w:w="110"/>
            </w:tcMar>
          </w:tcPr>
          <w:p>
            <w:r>
              <w:rPr>
                <w:b w:val="false"/>
                <w:bCs w:val="false"/>
                <w:color w:val="222222"/>
                <w:sz w:val="19"/>
                <w:szCs w:val="19"/>
              </w:rPr>
              <w:t xml:space="preserve">Appends a row to a Google Sheet and posts to a Slack channel — a visual, demo-friendly way to show “integration” beyond the mock LRMS</w:t>
            </w:r>
          </w:p>
        </w:tc>
      </w:tr>
      <w:tr>
        <w:tc>
          <w:tcPr>
            <w:tcW w:type="dxa" w:w="2600"/>
            <w:shd w:fill="EAF1EF" w:val="clear"/>
            <w:tcMar>
              <w:top w:type="dxa" w:w="80"/>
              <w:left w:type="dxa" w:w="110"/>
              <w:bottom w:type="dxa" w:w="80"/>
              <w:right w:type="dxa" w:w="110"/>
            </w:tcMar>
          </w:tcPr>
          <w:p>
            <w:r>
              <w:rPr>
                <w:b w:val="false"/>
                <w:bCs w:val="false"/>
                <w:color w:val="222222"/>
                <w:sz w:val="19"/>
                <w:szCs w:val="19"/>
              </w:rPr>
              <w:t xml:space="preserve">Daily digest report</w:t>
            </w:r>
          </w:p>
        </w:tc>
        <w:tc>
          <w:tcPr>
            <w:tcW w:type="dxa" w:w="3200"/>
            <w:shd w:fill="EAF1EF" w:val="clear"/>
            <w:tcMar>
              <w:top w:type="dxa" w:w="80"/>
              <w:left w:type="dxa" w:w="110"/>
              <w:bottom w:type="dxa" w:w="80"/>
              <w:right w:type="dxa" w:w="110"/>
            </w:tcMar>
          </w:tcPr>
          <w:p>
            <w:r>
              <w:rPr>
                <w:b w:val="false"/>
                <w:bCs w:val="false"/>
                <w:color w:val="222222"/>
                <w:sz w:val="19"/>
                <w:szCs w:val="19"/>
              </w:rPr>
              <w:t xml:space="preserve">n8n Cron node, runs once daily</w:t>
            </w:r>
          </w:p>
        </w:tc>
        <w:tc>
          <w:tcPr>
            <w:tcW w:type="dxa" w:w="3550"/>
            <w:shd w:fill="EAF1EF" w:val="clear"/>
            <w:tcMar>
              <w:top w:type="dxa" w:w="80"/>
              <w:left w:type="dxa" w:w="110"/>
              <w:bottom w:type="dxa" w:w="80"/>
              <w:right w:type="dxa" w:w="110"/>
            </w:tcMar>
          </w:tcPr>
          <w:p>
            <w:r>
              <w:rPr>
                <w:b w:val="false"/>
                <w:bCs w:val="false"/>
                <w:color w:val="222222"/>
                <w:sz w:val="19"/>
                <w:szCs w:val="19"/>
              </w:rPr>
              <w:t xml:space="preserve">Calls GET /stats/summary and emails a formatted progress summary to the admin</w:t>
            </w:r>
          </w:p>
        </w:tc>
      </w:tr>
    </w:tbl>
    <w:p>
      <w:pPr>
        <w:spacing w:after="140" w:line="300"/>
      </w:pPr>
      <w:r>
        <w:rPr>
          <w:color w:val="222222"/>
          <w:sz w:val="21"/>
          <w:szCs w:val="21"/>
        </w:rPr>
        <w:t xml:space="preserve">Backend change required: 3–4 outbound POST calls (on submit, approve, reject) to a configured n8n webhook URL stored as an environment variable — a small addition, not a redesign. This layer is explicitly optional for the hackathon demo and positioned as a roadmap/nice-to-have item so it never competes for time against the core pipeline in Sections 6.1–6.4.</w:t>
      </w:r>
    </w:p>
    <w:p>
      <w:pPr>
        <w:pStyle w:val="Heading1"/>
        <w:pBdr>
          <w:bottom w:val="single" w:color="1F3864" w:sz="6" w:space="4"/>
        </w:pBdr>
        <w:spacing w:after="160" w:before="380"/>
      </w:pPr>
      <w:r>
        <w:rPr>
          <w:b/>
          <w:bCs/>
          <w:color w:val="1F3864"/>
          <w:sz w:val="30"/>
          <w:szCs w:val="30"/>
        </w:rPr>
        <w:t xml:space="preserve">7.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10"/>
              <w:bottom w:type="dxa" w:w="80"/>
              <w:right w:type="dxa" w:w="110"/>
            </w:tcMar>
          </w:tcPr>
          <w:p>
            <w:r>
              <w:rPr>
                <w:b/>
                <w:bCs/>
                <w:color w:val="FFFFFF"/>
                <w:sz w:val="19"/>
                <w:szCs w:val="19"/>
              </w:rPr>
              <w:t xml:space="preserve">Category</w:t>
            </w:r>
          </w:p>
        </w:tc>
        <w:tc>
          <w:tcPr>
            <w:tcW w:type="dxa" w:w="6950"/>
            <w:shd w:fill="1F3864" w:val="clear"/>
            <w:tcMar>
              <w:top w:type="dxa" w:w="80"/>
              <w:left w:type="dxa" w:w="110"/>
              <w:bottom w:type="dxa" w:w="80"/>
              <w:right w:type="dxa" w:w="110"/>
            </w:tcMar>
          </w:tcPr>
          <w:p>
            <w:r>
              <w:rPr>
                <w:b/>
                <w:bCs/>
                <w:color w:val="FFFFFF"/>
                <w:sz w:val="19"/>
                <w:szCs w:val="19"/>
              </w:rPr>
              <w:t xml:space="preserve">Requirement</w:t>
            </w:r>
          </w:p>
        </w:tc>
      </w:tr>
      <w:tr>
        <w:tc>
          <w:tcPr>
            <w:tcW w:type="dxa" w:w="2400"/>
            <w:tcMar>
              <w:top w:type="dxa" w:w="80"/>
              <w:left w:type="dxa" w:w="110"/>
              <w:bottom w:type="dxa" w:w="80"/>
              <w:right w:type="dxa" w:w="110"/>
            </w:tcMar>
          </w:tcPr>
          <w:p>
            <w:r>
              <w:rPr>
                <w:b w:val="false"/>
                <w:bCs w:val="false"/>
                <w:color w:val="222222"/>
                <w:sz w:val="19"/>
                <w:szCs w:val="19"/>
              </w:rPr>
              <w:t xml:space="preserve">Security</w:t>
            </w:r>
          </w:p>
        </w:tc>
        <w:tc>
          <w:tcPr>
            <w:tcW w:type="dxa" w:w="6950"/>
            <w:tcMar>
              <w:top w:type="dxa" w:w="80"/>
              <w:left w:type="dxa" w:w="110"/>
              <w:bottom w:type="dxa" w:w="80"/>
              <w:right w:type="dxa" w:w="110"/>
            </w:tcMar>
          </w:tcPr>
          <w:p>
            <w:r>
              <w:rPr>
                <w:b w:val="false"/>
                <w:bCs w:val="false"/>
                <w:color w:val="222222"/>
                <w:sz w:val="19"/>
                <w:szCs w:val="19"/>
              </w:rPr>
              <w:t xml:space="preserve">TLS in transit, encryption at rest, RBAC enforced at API level, append-only audit logging of all record changes</w:t>
            </w:r>
          </w:p>
        </w:tc>
      </w:tr>
      <w:tr>
        <w:tc>
          <w:tcPr>
            <w:tcW w:type="dxa" w:w="2400"/>
            <w:shd w:fill="EAF1EF" w:val="clear"/>
            <w:tcMar>
              <w:top w:type="dxa" w:w="80"/>
              <w:left w:type="dxa" w:w="110"/>
              <w:bottom w:type="dxa" w:w="80"/>
              <w:right w:type="dxa" w:w="110"/>
            </w:tcMar>
          </w:tcPr>
          <w:p>
            <w:r>
              <w:rPr>
                <w:b w:val="false"/>
                <w:bCs w:val="false"/>
                <w:color w:val="222222"/>
                <w:sz w:val="19"/>
                <w:szCs w:val="19"/>
              </w:rPr>
              <w:t xml:space="preserve">Privacy / data residency</w:t>
            </w:r>
          </w:p>
        </w:tc>
        <w:tc>
          <w:tcPr>
            <w:tcW w:type="dxa" w:w="6950"/>
            <w:shd w:fill="EAF1EF" w:val="clear"/>
            <w:tcMar>
              <w:top w:type="dxa" w:w="80"/>
              <w:left w:type="dxa" w:w="110"/>
              <w:bottom w:type="dxa" w:w="80"/>
              <w:right w:type="dxa" w:w="110"/>
            </w:tcMar>
          </w:tcPr>
          <w:p>
            <w:r>
              <w:rPr>
                <w:b w:val="false"/>
                <w:bCs w:val="false"/>
                <w:color w:val="222222"/>
                <w:sz w:val="19"/>
                <w:szCs w:val="19"/>
              </w:rPr>
              <w:t xml:space="preserve">Government revenue and ownership data should be processed and stored on government-approved infrastructure (e.g., NIC MeghRaj) in production; avoid routing raw scans through generic third-party AI APIs unless explicitly cleared by the department</w:t>
            </w:r>
          </w:p>
        </w:tc>
      </w:tr>
      <w:tr>
        <w:tc>
          <w:tcPr>
            <w:tcW w:type="dxa" w:w="2400"/>
            <w:tcMar>
              <w:top w:type="dxa" w:w="80"/>
              <w:left w:type="dxa" w:w="110"/>
              <w:bottom w:type="dxa" w:w="80"/>
              <w:right w:type="dxa" w:w="110"/>
            </w:tcMar>
          </w:tcPr>
          <w:p>
            <w:r>
              <w:rPr>
                <w:b w:val="false"/>
                <w:bCs w:val="false"/>
                <w:color w:val="222222"/>
                <w:sz w:val="19"/>
                <w:szCs w:val="19"/>
              </w:rPr>
              <w:t xml:space="preserve">Legal defensibility</w:t>
            </w:r>
          </w:p>
        </w:tc>
        <w:tc>
          <w:tcPr>
            <w:tcW w:type="dxa" w:w="6950"/>
            <w:tcMar>
              <w:top w:type="dxa" w:w="80"/>
              <w:left w:type="dxa" w:w="110"/>
              <w:bottom w:type="dxa" w:w="80"/>
              <w:right w:type="dxa" w:w="110"/>
            </w:tcMar>
          </w:tcPr>
          <w:p>
            <w:r>
              <w:rPr>
                <w:b w:val="false"/>
                <w:bCs w:val="false"/>
                <w:color w:val="222222"/>
                <w:sz w:val="19"/>
                <w:szCs w:val="19"/>
              </w:rPr>
              <w:t xml:space="preserve">Original scans are retained immutably; no field is auto-finalized below the confidence threshold without human sign-off; every change is attributable to a user</w:t>
            </w:r>
          </w:p>
        </w:tc>
      </w:tr>
      <w:tr>
        <w:tc>
          <w:tcPr>
            <w:tcW w:type="dxa" w:w="2400"/>
            <w:shd w:fill="EAF1EF" w:val="clear"/>
            <w:tcMar>
              <w:top w:type="dxa" w:w="80"/>
              <w:left w:type="dxa" w:w="110"/>
              <w:bottom w:type="dxa" w:w="80"/>
              <w:right w:type="dxa" w:w="110"/>
            </w:tcMar>
          </w:tcPr>
          <w:p>
            <w:r>
              <w:rPr>
                <w:b w:val="false"/>
                <w:bCs w:val="false"/>
                <w:color w:val="222222"/>
                <w:sz w:val="19"/>
                <w:szCs w:val="19"/>
              </w:rPr>
              <w:t xml:space="preserve">Scalability</w:t>
            </w:r>
          </w:p>
        </w:tc>
        <w:tc>
          <w:tcPr>
            <w:tcW w:type="dxa" w:w="6950"/>
            <w:shd w:fill="EAF1EF" w:val="clear"/>
            <w:tcMar>
              <w:top w:type="dxa" w:w="80"/>
              <w:left w:type="dxa" w:w="110"/>
              <w:bottom w:type="dxa" w:w="80"/>
              <w:right w:type="dxa" w:w="110"/>
            </w:tcMar>
          </w:tcPr>
          <w:p>
            <w:r>
              <w:rPr>
                <w:b w:val="false"/>
                <w:bCs w:val="false"/>
                <w:color w:val="222222"/>
                <w:sz w:val="19"/>
                <w:szCs w:val="19"/>
              </w:rPr>
              <w:t xml:space="preserve">Architecture should support batch processing of large volumes of scans (thousands per digitization drive) via horizontally scalable OCR/ML worker pools, even though the hackathon demo will run at a small sample scale</w:t>
            </w:r>
          </w:p>
        </w:tc>
      </w:tr>
      <w:tr>
        <w:tc>
          <w:tcPr>
            <w:tcW w:type="dxa" w:w="2400"/>
            <w:tcMar>
              <w:top w:type="dxa" w:w="80"/>
              <w:left w:type="dxa" w:w="110"/>
              <w:bottom w:type="dxa" w:w="80"/>
              <w:right w:type="dxa" w:w="110"/>
            </w:tcMar>
          </w:tcPr>
          <w:p>
            <w:r>
              <w:rPr>
                <w:b w:val="false"/>
                <w:bCs w:val="false"/>
                <w:color w:val="222222"/>
                <w:sz w:val="19"/>
                <w:szCs w:val="19"/>
              </w:rPr>
              <w:t xml:space="preserve">Accessibility</w:t>
            </w:r>
          </w:p>
        </w:tc>
        <w:tc>
          <w:tcPr>
            <w:tcW w:type="dxa" w:w="6950"/>
            <w:tcMar>
              <w:top w:type="dxa" w:w="80"/>
              <w:left w:type="dxa" w:w="110"/>
              <w:bottom w:type="dxa" w:w="80"/>
              <w:right w:type="dxa" w:w="110"/>
            </w:tcMar>
          </w:tcPr>
          <w:p>
            <w:r>
              <w:rPr>
                <w:b w:val="false"/>
                <w:bCs w:val="false"/>
                <w:color w:val="222222"/>
                <w:sz w:val="19"/>
                <w:szCs w:val="19"/>
              </w:rPr>
              <w:t xml:space="preserve">Multilingual UI for operators; confidence indicators and review UI designed to be usable by data-entry staff, not just technical users</w:t>
            </w:r>
          </w:p>
        </w:tc>
      </w:tr>
      <w:tr>
        <w:tc>
          <w:tcPr>
            <w:tcW w:type="dxa" w:w="2400"/>
            <w:shd w:fill="EAF1EF" w:val="clear"/>
            <w:tcMar>
              <w:top w:type="dxa" w:w="80"/>
              <w:left w:type="dxa" w:w="110"/>
              <w:bottom w:type="dxa" w:w="80"/>
              <w:right w:type="dxa" w:w="110"/>
            </w:tcMar>
          </w:tcPr>
          <w:p>
            <w:r>
              <w:rPr>
                <w:b w:val="false"/>
                <w:bCs w:val="false"/>
                <w:color w:val="222222"/>
                <w:sz w:val="19"/>
                <w:szCs w:val="19"/>
              </w:rPr>
              <w:t xml:space="preserve">Reliability</w:t>
            </w:r>
          </w:p>
        </w:tc>
        <w:tc>
          <w:tcPr>
            <w:tcW w:type="dxa" w:w="6950"/>
            <w:shd w:fill="EAF1EF" w:val="clear"/>
            <w:tcMar>
              <w:top w:type="dxa" w:w="80"/>
              <w:left w:type="dxa" w:w="110"/>
              <w:bottom w:type="dxa" w:w="80"/>
              <w:right w:type="dxa" w:w="110"/>
            </w:tcMar>
          </w:tcPr>
          <w:p>
            <w:r>
              <w:rPr>
                <w:b w:val="false"/>
                <w:bCs w:val="false"/>
                <w:color w:val="222222"/>
                <w:sz w:val="19"/>
                <w:szCs w:val="19"/>
              </w:rPr>
              <w:t xml:space="preserve">Idempotent batch processing so a failed/retried upload does not create duplicate records</w:t>
            </w:r>
          </w:p>
        </w:tc>
      </w:tr>
    </w:tbl>
    <w:p>
      <w:pPr>
        <w:pStyle w:val="Heading1"/>
        <w:pBdr>
          <w:bottom w:val="single" w:color="1F3864" w:sz="6" w:space="4"/>
        </w:pBdr>
        <w:spacing w:after="160" w:before="380"/>
      </w:pPr>
      <w:r>
        <w:rPr>
          <w:b/>
          <w:bCs/>
          <w:color w:val="1F3864"/>
          <w:sz w:val="30"/>
          <w:szCs w:val="30"/>
        </w:rPr>
        <w:t xml:space="preserve">8. What to Actually Build vs. Simulate for the SIH Prototype</w:t>
      </w:r>
    </w:p>
    <w:p>
      <w:pPr>
        <w:spacing w:after="140" w:line="300"/>
      </w:pPr>
      <w:r>
        <w:rPr>
          <w:color w:val="222222"/>
          <w:sz w:val="21"/>
          <w:szCs w:val="21"/>
        </w:rPr>
        <w:t xml:space="preserve">This is the single most important section for hackathon judging credibility: judges reward teams who are explicit about scope, not teams who claim a finished national system in 36 hours.</w:t>
      </w:r>
    </w:p>
    <w:p>
      <w:pPr>
        <w:spacing w:after="80" w:before="180"/>
      </w:pPr>
      <w:r>
        <w:rPr>
          <w:b/>
          <w:bCs/>
          <w:color w:val="222222"/>
          <w:sz w:val="22"/>
          <w:szCs w:val="22"/>
        </w:rPr>
        <w:t xml:space="preserve">Build for real (working demo):</w:t>
      </w:r>
    </w:p>
    <w:p>
      <w:pPr>
        <w:pStyle w:val="ListParagraph"/>
        <w:numPr>
          <w:ilvl w:val="0"/>
          <w:numId w:val="2"/>
        </w:numPr>
        <w:spacing w:after="80" w:line="290"/>
      </w:pPr>
      <w:r>
        <w:rPr>
          <w:sz w:val="21"/>
          <w:szCs w:val="21"/>
        </w:rPr>
        <w:t xml:space="preserve">End-to-end pipeline on a curated demo set (roughly 15–25 sample scans/PDFs, mixing printed and handwritten, at least two languages/scripts, e.g. Hindi/Devanagari + English)</w:t>
      </w:r>
    </w:p>
    <w:p>
      <w:pPr>
        <w:pStyle w:val="ListParagraph"/>
        <w:numPr>
          <w:ilvl w:val="0"/>
          <w:numId w:val="2"/>
        </w:numPr>
        <w:spacing w:after="80" w:line="290"/>
      </w:pPr>
      <w:r>
        <w:rPr>
          <w:sz w:val="21"/>
          <w:szCs w:val="21"/>
        </w:rPr>
        <w:t xml:space="preserve">Working confidence scoring and the side-by-side review UI for low-confidence fields</w:t>
      </w:r>
    </w:p>
    <w:p>
      <w:pPr>
        <w:pStyle w:val="ListParagraph"/>
        <w:numPr>
          <w:ilvl w:val="0"/>
          <w:numId w:val="2"/>
        </w:numPr>
        <w:spacing w:after="80" w:line="290"/>
      </w:pPr>
      <w:r>
        <w:rPr>
          <w:sz w:val="21"/>
          <w:szCs w:val="21"/>
        </w:rPr>
        <w:t xml:space="preserve">Working role-based access control (operator / officer / admin) with a real approval workflow</w:t>
      </w:r>
    </w:p>
    <w:p>
      <w:pPr>
        <w:pStyle w:val="ListParagraph"/>
        <w:numPr>
          <w:ilvl w:val="0"/>
          <w:numId w:val="2"/>
        </w:numPr>
        <w:spacing w:after="80" w:line="290"/>
      </w:pPr>
      <w:r>
        <w:rPr>
          <w:sz w:val="21"/>
          <w:szCs w:val="21"/>
        </w:rPr>
        <w:t xml:space="preserve">Working dashboard computed from real stats generated by processing the demo batch (not hardcoded numbers)</w:t>
      </w:r>
    </w:p>
    <w:p>
      <w:pPr>
        <w:pStyle w:val="ListParagraph"/>
        <w:numPr>
          <w:ilvl w:val="0"/>
          <w:numId w:val="2"/>
        </w:numPr>
        <w:spacing w:after="80" w:line="290"/>
      </w:pPr>
      <w:r>
        <w:rPr>
          <w:sz w:val="21"/>
          <w:szCs w:val="21"/>
        </w:rPr>
        <w:t xml:space="preserve">One working mock LRMS/DILRMP REST endpoint that the system actually pushes approved records to, to prove the integration contract works</w:t>
      </w:r>
    </w:p>
    <w:p>
      <w:pPr>
        <w:pStyle w:val="ListParagraph"/>
        <w:numPr>
          <w:ilvl w:val="0"/>
          <w:numId w:val="2"/>
        </w:numPr>
        <w:spacing w:after="80" w:line="290"/>
      </w:pPr>
      <w:r>
        <w:rPr>
          <w:sz w:val="21"/>
          <w:szCs w:val="21"/>
        </w:rPr>
        <w:t xml:space="preserve">One working GIS map view rendering a sample shapefile/cadastral layer against digitized plot data</w:t>
      </w:r>
    </w:p>
    <w:p>
      <w:pPr>
        <w:pStyle w:val="ListParagraph"/>
        <w:numPr>
          <w:ilvl w:val="0"/>
          <w:numId w:val="2"/>
        </w:numPr>
        <w:spacing w:after="80" w:line="290"/>
      </w:pPr>
      <w:r>
        <w:rPr>
          <w:sz w:val="21"/>
          <w:szCs w:val="21"/>
        </w:rPr>
        <w:t xml:space="preserve">Append-only audit log, visibly demonstrable (who changed what, when)</w:t>
      </w:r>
    </w:p>
    <w:p>
      <w:pPr>
        <w:spacing w:after="80" w:before="180"/>
      </w:pPr>
      <w:r>
        <w:rPr>
          <w:b/>
          <w:bCs/>
          <w:color w:val="222222"/>
          <w:sz w:val="22"/>
          <w:szCs w:val="22"/>
        </w:rPr>
        <w:t xml:space="preserve">Simulate / mock, and say so openly:</w:t>
      </w:r>
    </w:p>
    <w:p>
      <w:pPr>
        <w:pStyle w:val="ListParagraph"/>
        <w:numPr>
          <w:ilvl w:val="0"/>
          <w:numId w:val="2"/>
        </w:numPr>
        <w:spacing w:after="80" w:line="290"/>
      </w:pPr>
      <w:r>
        <w:rPr>
          <w:sz w:val="21"/>
          <w:szCs w:val="21"/>
        </w:rPr>
        <w:t xml:space="preserve">Full production DILRMP/state LRMS integration — use documented mock endpoints and the adapter-pattern design instead</w:t>
      </w:r>
    </w:p>
    <w:p>
      <w:pPr>
        <w:pStyle w:val="ListParagraph"/>
        <w:numPr>
          <w:ilvl w:val="0"/>
          <w:numId w:val="2"/>
        </w:numPr>
        <w:spacing w:after="80" w:line="290"/>
      </w:pPr>
      <w:r>
        <w:rPr>
          <w:sz w:val="21"/>
          <w:szCs w:val="21"/>
        </w:rPr>
        <w:t xml:space="preserve">Nationwide multilingual coverage — demo two scripts, present the remaining Indian languages as a clearly labelled roadmap item</w:t>
      </w:r>
    </w:p>
    <w:p>
      <w:pPr>
        <w:pStyle w:val="ListParagraph"/>
        <w:numPr>
          <w:ilvl w:val="0"/>
          <w:numId w:val="2"/>
        </w:numPr>
        <w:spacing w:after="80" w:line="290"/>
      </w:pPr>
      <w:r>
        <w:rPr>
          <w:sz w:val="21"/>
          <w:szCs w:val="21"/>
        </w:rPr>
        <w:t xml:space="preserve">Large-scale load/performance testing — describe the target horizontally-scalable architecture rather than attempting a real load test</w:t>
      </w:r>
    </w:p>
    <w:p>
      <w:pPr>
        <w:pStyle w:val="ListParagraph"/>
        <w:numPr>
          <w:ilvl w:val="0"/>
          <w:numId w:val="2"/>
        </w:numPr>
        <w:spacing w:after="80" w:line="290"/>
      </w:pPr>
      <w:r>
        <w:rPr>
          <w:sz w:val="21"/>
          <w:szCs w:val="21"/>
        </w:rPr>
        <w:t xml:space="preserve">Blockchain-based tamper-evidence — mention the lightweight hash-chained audit log as the pragmatic MVP approach, and note full ledger integration as an optional later-phase idea, not a hackathon deliverable</w:t>
      </w:r>
    </w:p>
    <w:p>
      <w:pPr>
        <w:pStyle w:val="ListParagraph"/>
        <w:numPr>
          <w:ilvl w:val="0"/>
          <w:numId w:val="2"/>
        </w:numPr>
        <w:spacing w:after="80" w:line="290"/>
      </w:pPr>
      <w:r>
        <w:rPr>
          <w:sz w:val="21"/>
          <w:szCs w:val="21"/>
        </w:rPr>
        <w:t xml:space="preserve">SMS/email notification integrations — can be stubbed/logged rather than wired to a real gateway for the demo</w:t>
      </w:r>
    </w:p>
    <w:p>
      <w:pPr>
        <w:pStyle w:val="Heading1"/>
        <w:pBdr>
          <w:bottom w:val="single" w:color="1F3864" w:sz="6" w:space="4"/>
        </w:pBdr>
        <w:spacing w:after="160" w:before="380"/>
      </w:pPr>
      <w:r>
        <w:rPr>
          <w:b/>
          <w:bCs/>
          <w:color w:val="1F3864"/>
          <w:sz w:val="30"/>
          <w:szCs w:val="30"/>
        </w:rPr>
        <w:t xml:space="preserve">9. Success Metrics (Design Targets, Not Measured Facts)</w:t>
      </w:r>
    </w:p>
    <w:p>
      <w:pPr>
        <w:spacing w:after="140" w:line="300"/>
      </w:pPr>
      <w:r>
        <w:rPr>
          <w:color w:val="222222"/>
          <w:sz w:val="21"/>
          <w:szCs w:val="21"/>
        </w:rPr>
        <w:t xml:space="preserve">These are targets to design and pilot toward — none of them are claimed as already-achieved results:</w:t>
      </w:r>
    </w:p>
    <w:p>
      <w:pPr>
        <w:pStyle w:val="ListParagraph"/>
        <w:numPr>
          <w:ilvl w:val="0"/>
          <w:numId w:val="2"/>
        </w:numPr>
        <w:spacing w:after="80" w:line="290"/>
      </w:pPr>
      <w:r>
        <w:rPr>
          <w:sz w:val="21"/>
          <w:szCs w:val="21"/>
        </w:rPr>
        <w:t xml:space="preserve">Reduction in time-per-record versus fully manual re-keying, measured on the demo batch</w:t>
      </w:r>
    </w:p>
    <w:p>
      <w:pPr>
        <w:pStyle w:val="ListParagraph"/>
        <w:numPr>
          <w:ilvl w:val="0"/>
          <w:numId w:val="2"/>
        </w:numPr>
        <w:spacing w:after="80" w:line="290"/>
      </w:pPr>
      <w:r>
        <w:rPr>
          <w:sz w:val="21"/>
          <w:szCs w:val="21"/>
        </w:rPr>
        <w:t xml:space="preserve">Percentage of fields auto-accepted at high confidence vs. routed to human review, and how that ratio improves as the active-learning loop is fed more corrections</w:t>
      </w:r>
    </w:p>
    <w:p>
      <w:pPr>
        <w:pStyle w:val="ListParagraph"/>
        <w:numPr>
          <w:ilvl w:val="0"/>
          <w:numId w:val="2"/>
        </w:numPr>
        <w:spacing w:after="80" w:line="290"/>
      </w:pPr>
      <w:r>
        <w:rPr>
          <w:sz w:val="21"/>
          <w:szCs w:val="21"/>
        </w:rPr>
        <w:t xml:space="preserve">Officer approval turnaround time from submission to decision</w:t>
      </w:r>
    </w:p>
    <w:p>
      <w:pPr>
        <w:pStyle w:val="ListParagraph"/>
        <w:numPr>
          <w:ilvl w:val="0"/>
          <w:numId w:val="2"/>
        </w:numPr>
        <w:spacing w:after="80" w:line="290"/>
      </w:pPr>
      <w:r>
        <w:rPr>
          <w:sz w:val="21"/>
          <w:szCs w:val="21"/>
        </w:rPr>
        <w:t xml:space="preserve">Post-approval error rate (issues later found in already-approved records), which the audit trail makes measurable over time</w:t>
      </w:r>
    </w:p>
    <w:p>
      <w:pPr>
        <w:pStyle w:val="ListParagraph"/>
        <w:numPr>
          <w:ilvl w:val="0"/>
          <w:numId w:val="2"/>
        </w:numPr>
        <w:spacing w:after="80" w:line="290"/>
      </w:pPr>
      <w:r>
        <w:rPr>
          <w:sz w:val="21"/>
          <w:szCs w:val="21"/>
        </w:rPr>
        <w:t xml:space="preserve">Coverage: documents processed per district/tehsil/village, visible on the monitoring dashboard</w:t>
      </w:r>
    </w:p>
    <w:p>
      <w:pPr>
        <w:pStyle w:val="Heading1"/>
        <w:pBdr>
          <w:bottom w:val="single" w:color="1F3864" w:sz="6" w:space="4"/>
        </w:pBdr>
        <w:spacing w:after="160" w:before="380"/>
      </w:pPr>
      <w:r>
        <w:rPr>
          <w:b/>
          <w:bCs/>
          <w:color w:val="1F3864"/>
          <w:sz w:val="30"/>
          <w:szCs w:val="30"/>
        </w:rPr>
        <w:t xml:space="preserve">10.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Mar>
              <w:top w:type="dxa" w:w="80"/>
              <w:left w:type="dxa" w:w="110"/>
              <w:bottom w:type="dxa" w:w="80"/>
              <w:right w:type="dxa" w:w="110"/>
            </w:tcMar>
          </w:tcPr>
          <w:p>
            <w:r>
              <w:rPr>
                <w:b/>
                <w:bCs/>
                <w:color w:val="FFFFFF"/>
                <w:sz w:val="19"/>
                <w:szCs w:val="19"/>
              </w:rPr>
              <w:t xml:space="preserve">Risk</w:t>
            </w:r>
          </w:p>
        </w:tc>
        <w:tc>
          <w:tcPr>
            <w:tcW w:type="dxa" w:w="5850"/>
            <w:shd w:fill="1F3864" w:val="clear"/>
            <w:tcMar>
              <w:top w:type="dxa" w:w="80"/>
              <w:left w:type="dxa" w:w="110"/>
              <w:bottom w:type="dxa" w:w="80"/>
              <w:right w:type="dxa" w:w="110"/>
            </w:tcMar>
          </w:tcPr>
          <w:p>
            <w:r>
              <w:rPr>
                <w:b/>
                <w:bCs/>
                <w:color w:val="FFFFFF"/>
                <w:sz w:val="19"/>
                <w:szCs w:val="19"/>
              </w:rPr>
              <w:t xml:space="preserve">Mitigation</w:t>
            </w:r>
          </w:p>
        </w:tc>
      </w:tr>
      <w:tr>
        <w:tc>
          <w:tcPr>
            <w:tcW w:type="dxa" w:w="3500"/>
            <w:tcMar>
              <w:top w:type="dxa" w:w="80"/>
              <w:left w:type="dxa" w:w="110"/>
              <w:bottom w:type="dxa" w:w="80"/>
              <w:right w:type="dxa" w:w="110"/>
            </w:tcMar>
          </w:tcPr>
          <w:p>
            <w:r>
              <w:rPr>
                <w:b w:val="false"/>
                <w:bCs w:val="false"/>
                <w:color w:val="222222"/>
                <w:sz w:val="19"/>
                <w:szCs w:val="19"/>
              </w:rPr>
              <w:t xml:space="preserve">Handwriting OCR accuracy is inherently limited for legacy/regional scripts</w:t>
            </w:r>
          </w:p>
        </w:tc>
        <w:tc>
          <w:tcPr>
            <w:tcW w:type="dxa" w:w="5850"/>
            <w:tcMar>
              <w:top w:type="dxa" w:w="80"/>
              <w:left w:type="dxa" w:w="110"/>
              <w:bottom w:type="dxa" w:w="80"/>
              <w:right w:type="dxa" w:w="110"/>
            </w:tcMar>
          </w:tcPr>
          <w:p>
            <w:r>
              <w:rPr>
                <w:b w:val="false"/>
                <w:bCs w:val="false"/>
                <w:color w:val="222222"/>
                <w:sz w:val="19"/>
                <w:szCs w:val="19"/>
              </w:rPr>
              <w:t xml:space="preserve">Design around it, don't hide it: confidence-based human review queue, and be upfront in the pitch that the system augments rather than replaces verification</w:t>
            </w:r>
          </w:p>
        </w:tc>
      </w:tr>
      <w:tr>
        <w:tc>
          <w:tcPr>
            <w:tcW w:type="dxa" w:w="3500"/>
            <w:shd w:fill="EAF1EF" w:val="clear"/>
            <w:tcMar>
              <w:top w:type="dxa" w:w="80"/>
              <w:left w:type="dxa" w:w="110"/>
              <w:bottom w:type="dxa" w:w="80"/>
              <w:right w:type="dxa" w:w="110"/>
            </w:tcMar>
          </w:tcPr>
          <w:p>
            <w:r>
              <w:rPr>
                <w:b w:val="false"/>
                <w:bCs w:val="false"/>
                <w:color w:val="222222"/>
                <w:sz w:val="19"/>
                <w:szCs w:val="19"/>
              </w:rPr>
              <w:t xml:space="preserve">Sensitive government data cannot leave approved infrastructure</w:t>
            </w:r>
          </w:p>
        </w:tc>
        <w:tc>
          <w:tcPr>
            <w:tcW w:type="dxa" w:w="5850"/>
            <w:shd w:fill="EAF1EF" w:val="clear"/>
            <w:tcMar>
              <w:top w:type="dxa" w:w="80"/>
              <w:left w:type="dxa" w:w="110"/>
              <w:bottom w:type="dxa" w:w="80"/>
              <w:right w:type="dxa" w:w="110"/>
            </w:tcMar>
          </w:tcPr>
          <w:p>
            <w:r>
              <w:rPr>
                <w:b w:val="false"/>
                <w:bCs w:val="false"/>
                <w:color w:val="222222"/>
                <w:sz w:val="19"/>
                <w:szCs w:val="19"/>
              </w:rPr>
              <w:t xml:space="preserve">Prefer self-hostable/open models over third-party AI APIs for the core pipeline; document a government-cloud (MeghRaj) deployment target</w:t>
            </w:r>
          </w:p>
        </w:tc>
      </w:tr>
      <w:tr>
        <w:tc>
          <w:tcPr>
            <w:tcW w:type="dxa" w:w="3500"/>
            <w:tcMar>
              <w:top w:type="dxa" w:w="80"/>
              <w:left w:type="dxa" w:w="110"/>
              <w:bottom w:type="dxa" w:w="80"/>
              <w:right w:type="dxa" w:w="110"/>
            </w:tcMar>
          </w:tcPr>
          <w:p>
            <w:r>
              <w:rPr>
                <w:b w:val="false"/>
                <w:bCs w:val="false"/>
                <w:color w:val="222222"/>
                <w:sz w:val="19"/>
                <w:szCs w:val="19"/>
              </w:rPr>
              <w:t xml:space="preserve">No real access to DILRMP/state LRMS APIs during the hackathon</w:t>
            </w:r>
          </w:p>
        </w:tc>
        <w:tc>
          <w:tcPr>
            <w:tcW w:type="dxa" w:w="5850"/>
            <w:tcMar>
              <w:top w:type="dxa" w:w="80"/>
              <w:left w:type="dxa" w:w="110"/>
              <w:bottom w:type="dxa" w:w="80"/>
              <w:right w:type="dxa" w:w="110"/>
            </w:tcMar>
          </w:tcPr>
          <w:p>
            <w:r>
              <w:rPr>
                <w:b w:val="false"/>
                <w:bCs w:val="false"/>
                <w:color w:val="222222"/>
                <w:sz w:val="19"/>
                <w:szCs w:val="19"/>
              </w:rPr>
              <w:t xml:space="preserve">Adapter-pattern integration layer against a documented mock contract, so real integration is a config change, not a rebuild</w:t>
            </w:r>
          </w:p>
        </w:tc>
      </w:tr>
      <w:tr>
        <w:tc>
          <w:tcPr>
            <w:tcW w:type="dxa" w:w="3500"/>
            <w:shd w:fill="EAF1EF" w:val="clear"/>
            <w:tcMar>
              <w:top w:type="dxa" w:w="80"/>
              <w:left w:type="dxa" w:w="110"/>
              <w:bottom w:type="dxa" w:w="80"/>
              <w:right w:type="dxa" w:w="110"/>
            </w:tcMar>
          </w:tcPr>
          <w:p>
            <w:r>
              <w:rPr>
                <w:b w:val="false"/>
                <w:bCs w:val="false"/>
                <w:color w:val="222222"/>
                <w:sz w:val="19"/>
                <w:szCs w:val="19"/>
              </w:rPr>
              <w:t xml:space="preserve">Scope creep into “all Indian languages” or “full blockchain ledger” dilutes the demo</w:t>
            </w:r>
          </w:p>
        </w:tc>
        <w:tc>
          <w:tcPr>
            <w:tcW w:type="dxa" w:w="5850"/>
            <w:shd w:fill="EAF1EF" w:val="clear"/>
            <w:tcMar>
              <w:top w:type="dxa" w:w="80"/>
              <w:left w:type="dxa" w:w="110"/>
              <w:bottom w:type="dxa" w:w="80"/>
              <w:right w:type="dxa" w:w="110"/>
            </w:tcMar>
          </w:tcPr>
          <w:p>
            <w:r>
              <w:rPr>
                <w:b w:val="false"/>
                <w:bCs w:val="false"/>
                <w:color w:val="222222"/>
                <w:sz w:val="19"/>
                <w:szCs w:val="19"/>
              </w:rPr>
              <w:t xml:space="preserve">Explicitly scope the prototype to 2–3 scripts and a hash-chained audit log; present the rest as a phased roadmap</w:t>
            </w:r>
          </w:p>
        </w:tc>
      </w:tr>
      <w:tr>
        <w:tc>
          <w:tcPr>
            <w:tcW w:type="dxa" w:w="3500"/>
            <w:tcMar>
              <w:top w:type="dxa" w:w="80"/>
              <w:left w:type="dxa" w:w="110"/>
              <w:bottom w:type="dxa" w:w="80"/>
              <w:right w:type="dxa" w:w="110"/>
            </w:tcMar>
          </w:tcPr>
          <w:p>
            <w:r>
              <w:rPr>
                <w:b w:val="false"/>
                <w:bCs w:val="false"/>
                <w:color w:val="222222"/>
                <w:sz w:val="19"/>
                <w:szCs w:val="19"/>
              </w:rPr>
              <w:t xml:space="preserve">An AI-corrected field is treated as legally final without human review</w:t>
            </w:r>
          </w:p>
        </w:tc>
        <w:tc>
          <w:tcPr>
            <w:tcW w:type="dxa" w:w="5850"/>
            <w:tcMar>
              <w:top w:type="dxa" w:w="80"/>
              <w:left w:type="dxa" w:w="110"/>
              <w:bottom w:type="dxa" w:w="80"/>
              <w:right w:type="dxa" w:w="110"/>
            </w:tcMar>
          </w:tcPr>
          <w:p>
            <w:r>
              <w:rPr>
                <w:b w:val="false"/>
                <w:bCs w:val="false"/>
                <w:color w:val="222222"/>
                <w:sz w:val="19"/>
                <w:szCs w:val="19"/>
              </w:rPr>
              <w:t xml:space="preserve">Hard rule in the workflow engine: nothing below the confidence threshold can reach “approved” status without an officer sign-off; original scan is never overwritten</w:t>
            </w:r>
          </w:p>
        </w:tc>
      </w:tr>
      <w:tr>
        <w:tc>
          <w:tcPr>
            <w:tcW w:type="dxa" w:w="3500"/>
            <w:shd w:fill="EAF1EF" w:val="clear"/>
            <w:tcMar>
              <w:top w:type="dxa" w:w="80"/>
              <w:left w:type="dxa" w:w="110"/>
              <w:bottom w:type="dxa" w:w="80"/>
              <w:right w:type="dxa" w:w="110"/>
            </w:tcMar>
          </w:tcPr>
          <w:p>
            <w:r>
              <w:rPr>
                <w:b w:val="false"/>
                <w:bCs w:val="false"/>
                <w:color w:val="222222"/>
                <w:sz w:val="19"/>
                <w:szCs w:val="19"/>
              </w:rPr>
              <w:t xml:space="preserve">Judges question originality versus existing citizen-portal or blockchain projects</w:t>
            </w:r>
          </w:p>
        </w:tc>
        <w:tc>
          <w:tcPr>
            <w:tcW w:type="dxa" w:w="5850"/>
            <w:shd w:fill="EAF1EF" w:val="clear"/>
            <w:tcMar>
              <w:top w:type="dxa" w:w="80"/>
              <w:left w:type="dxa" w:w="110"/>
              <w:bottom w:type="dxa" w:w="80"/>
              <w:right w:type="dxa" w:w="110"/>
            </w:tcMar>
          </w:tcPr>
          <w:p>
            <w:r>
              <w:rPr>
                <w:b w:val="false"/>
                <w:bCs w:val="false"/>
                <w:color w:val="222222"/>
                <w:sz w:val="19"/>
                <w:szCs w:val="19"/>
              </w:rPr>
              <w:t xml:space="preserve">Lead with the competitive research in Section 2 — the differentiation is the back-office digitization + human-in-loop + LRMS-integration angle, not “yet another portal” or “yet another land blockchain”</w:t>
            </w:r>
          </w:p>
        </w:tc>
      </w:tr>
    </w:tbl>
    <w:p>
      <w:pPr>
        <w:pStyle w:val="Heading1"/>
        <w:pBdr>
          <w:bottom w:val="single" w:color="1F3864" w:sz="6" w:space="4"/>
        </w:pBdr>
        <w:spacing w:after="160" w:before="380"/>
      </w:pPr>
      <w:r>
        <w:rPr>
          <w:b/>
          <w:bCs/>
          <w:color w:val="1F3864"/>
          <w:sz w:val="30"/>
          <w:szCs w:val="30"/>
        </w:rPr>
        <w:t xml:space="preserve">11. Phased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10"/>
              <w:bottom w:type="dxa" w:w="80"/>
              <w:right w:type="dxa" w:w="110"/>
            </w:tcMar>
          </w:tcPr>
          <w:p>
            <w:r>
              <w:rPr>
                <w:b/>
                <w:bCs/>
                <w:color w:val="FFFFFF"/>
                <w:sz w:val="19"/>
                <w:szCs w:val="19"/>
              </w:rPr>
              <w:t xml:space="preserve">Phase</w:t>
            </w:r>
          </w:p>
        </w:tc>
        <w:tc>
          <w:tcPr>
            <w:tcW w:type="dxa" w:w="6750"/>
            <w:shd w:fill="1F3864" w:val="clear"/>
            <w:tcMar>
              <w:top w:type="dxa" w:w="80"/>
              <w:left w:type="dxa" w:w="110"/>
              <w:bottom w:type="dxa" w:w="80"/>
              <w:right w:type="dxa" w:w="110"/>
            </w:tcMar>
          </w:tcPr>
          <w:p>
            <w:r>
              <w:rPr>
                <w:b/>
                <w:bCs/>
                <w:color w:val="FFFFFF"/>
                <w:sz w:val="19"/>
                <w:szCs w:val="19"/>
              </w:rPr>
              <w:t xml:space="preserve">Scope</w:t>
            </w:r>
          </w:p>
        </w:tc>
      </w:tr>
      <w:tr>
        <w:tc>
          <w:tcPr>
            <w:tcW w:type="dxa" w:w="2600"/>
            <w:tcMar>
              <w:top w:type="dxa" w:w="80"/>
              <w:left w:type="dxa" w:w="110"/>
              <w:bottom w:type="dxa" w:w="80"/>
              <w:right w:type="dxa" w:w="110"/>
            </w:tcMar>
          </w:tcPr>
          <w:p>
            <w:r>
              <w:rPr>
                <w:b w:val="false"/>
                <w:bCs w:val="false"/>
                <w:color w:val="222222"/>
                <w:sz w:val="19"/>
                <w:szCs w:val="19"/>
              </w:rPr>
              <w:t xml:space="preserve">Phase 0 — Hackathon prototype</w:t>
            </w:r>
          </w:p>
        </w:tc>
        <w:tc>
          <w:tcPr>
            <w:tcW w:type="dxa" w:w="6750"/>
            <w:tcMar>
              <w:top w:type="dxa" w:w="80"/>
              <w:left w:type="dxa" w:w="110"/>
              <w:bottom w:type="dxa" w:w="80"/>
              <w:right w:type="dxa" w:w="110"/>
            </w:tcMar>
          </w:tcPr>
          <w:p>
            <w:r>
              <w:rPr>
                <w:b w:val="false"/>
                <w:bCs w:val="false"/>
                <w:color w:val="222222"/>
                <w:sz w:val="19"/>
                <w:szCs w:val="19"/>
              </w:rPr>
              <w:t xml:space="preserve">End-to-end pipeline on a demo dataset, mock LRMS/DILRMP integration, working RBAC + review workflow + dashboard, as detailed in Section 8</w:t>
            </w:r>
          </w:p>
        </w:tc>
      </w:tr>
      <w:tr>
        <w:tc>
          <w:tcPr>
            <w:tcW w:type="dxa" w:w="2600"/>
            <w:shd w:fill="EAF1EF" w:val="clear"/>
            <w:tcMar>
              <w:top w:type="dxa" w:w="80"/>
              <w:left w:type="dxa" w:w="110"/>
              <w:bottom w:type="dxa" w:w="80"/>
              <w:right w:type="dxa" w:w="110"/>
            </w:tcMar>
          </w:tcPr>
          <w:p>
            <w:r>
              <w:rPr>
                <w:b w:val="false"/>
                <w:bCs w:val="false"/>
                <w:color w:val="222222"/>
                <w:sz w:val="19"/>
                <w:szCs w:val="19"/>
              </w:rPr>
              <w:t xml:space="preserve">Phase 1 — Single-district pilot</w:t>
            </w:r>
          </w:p>
        </w:tc>
        <w:tc>
          <w:tcPr>
            <w:tcW w:type="dxa" w:w="6750"/>
            <w:shd w:fill="EAF1EF" w:val="clear"/>
            <w:tcMar>
              <w:top w:type="dxa" w:w="80"/>
              <w:left w:type="dxa" w:w="110"/>
              <w:bottom w:type="dxa" w:w="80"/>
              <w:right w:type="dxa" w:w="110"/>
            </w:tcMar>
          </w:tcPr>
          <w:p>
            <w:r>
              <w:rPr>
                <w:b w:val="false"/>
                <w:bCs w:val="false"/>
                <w:color w:val="222222"/>
                <w:sz w:val="19"/>
                <w:szCs w:val="19"/>
              </w:rPr>
              <w:t xml:space="preserve">Real scans from one willing district/tehsil office, real (limited) integration with that state's LRMS if access is granted, structured feedback loop with actual patwari/officer users, n8n automation layer (notifications, stale-review alerts, reporting) turned on</w:t>
            </w:r>
          </w:p>
        </w:tc>
      </w:tr>
      <w:tr>
        <w:tc>
          <w:tcPr>
            <w:tcW w:type="dxa" w:w="2600"/>
            <w:tcMar>
              <w:top w:type="dxa" w:w="80"/>
              <w:left w:type="dxa" w:w="110"/>
              <w:bottom w:type="dxa" w:w="80"/>
              <w:right w:type="dxa" w:w="110"/>
            </w:tcMar>
          </w:tcPr>
          <w:p>
            <w:r>
              <w:rPr>
                <w:b w:val="false"/>
                <w:bCs w:val="false"/>
                <w:color w:val="222222"/>
                <w:sz w:val="19"/>
                <w:szCs w:val="19"/>
              </w:rPr>
              <w:t xml:space="preserve">Phase 2 — Multi-district / state rollout</w:t>
            </w:r>
          </w:p>
        </w:tc>
        <w:tc>
          <w:tcPr>
            <w:tcW w:type="dxa" w:w="6750"/>
            <w:tcMar>
              <w:top w:type="dxa" w:w="80"/>
              <w:left w:type="dxa" w:w="110"/>
              <w:bottom w:type="dxa" w:w="80"/>
              <w:right w:type="dxa" w:w="110"/>
            </w:tcMar>
          </w:tcPr>
          <w:p>
            <w:r>
              <w:rPr>
                <w:b w:val="false"/>
                <w:bCs w:val="false"/>
                <w:color w:val="222222"/>
                <w:sz w:val="19"/>
                <w:szCs w:val="19"/>
              </w:rPr>
              <w:t xml:space="preserve">Expand language/script coverage, formal DILRMP integration, load-tested infrastructure, GIS integration with real cadastral data</w:t>
            </w:r>
          </w:p>
        </w:tc>
      </w:tr>
      <w:tr>
        <w:tc>
          <w:tcPr>
            <w:tcW w:type="dxa" w:w="2600"/>
            <w:shd w:fill="EAF1EF" w:val="clear"/>
            <w:tcMar>
              <w:top w:type="dxa" w:w="80"/>
              <w:left w:type="dxa" w:w="110"/>
              <w:bottom w:type="dxa" w:w="80"/>
              <w:right w:type="dxa" w:w="110"/>
            </w:tcMar>
          </w:tcPr>
          <w:p>
            <w:r>
              <w:rPr>
                <w:b w:val="false"/>
                <w:bCs w:val="false"/>
                <w:color w:val="222222"/>
                <w:sz w:val="19"/>
                <w:szCs w:val="19"/>
              </w:rPr>
              <w:t xml:space="preserve">Phase 3 — National scale</w:t>
            </w:r>
          </w:p>
        </w:tc>
        <w:tc>
          <w:tcPr>
            <w:tcW w:type="dxa" w:w="6750"/>
            <w:shd w:fill="EAF1EF" w:val="clear"/>
            <w:tcMar>
              <w:top w:type="dxa" w:w="80"/>
              <w:left w:type="dxa" w:w="110"/>
              <w:bottom w:type="dxa" w:w="80"/>
              <w:right w:type="dxa" w:w="110"/>
            </w:tcMar>
          </w:tcPr>
          <w:p>
            <w:r>
              <w:rPr>
                <w:b w:val="false"/>
                <w:bCs w:val="false"/>
                <w:color w:val="222222"/>
                <w:sz w:val="19"/>
                <w:szCs w:val="19"/>
              </w:rPr>
              <w:t xml:space="preserve">Multi-state adapter library, standardized reporting to DILRMP, mature active-learning pipeline with continuous model improvement</w:t>
            </w:r>
          </w:p>
        </w:tc>
      </w:tr>
    </w:tbl>
    <w:p>
      <w:pPr>
        <w:pStyle w:val="Heading1"/>
        <w:pBdr>
          <w:bottom w:val="single" w:color="1F3864" w:sz="6" w:space="4"/>
        </w:pBdr>
        <w:spacing w:after="160" w:before="380"/>
      </w:pPr>
      <w:r>
        <w:rPr>
          <w:b/>
          <w:bCs/>
          <w:color w:val="1F3864"/>
          <w:sz w:val="30"/>
          <w:szCs w:val="30"/>
        </w:rPr>
        <w:t xml:space="preserve">12.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10"/>
              <w:bottom w:type="dxa" w:w="80"/>
              <w:right w:type="dxa" w:w="110"/>
            </w:tcMar>
          </w:tcPr>
          <w:p>
            <w:r>
              <w:rPr>
                <w:b/>
                <w:bCs/>
                <w:color w:val="FFFFFF"/>
                <w:sz w:val="19"/>
                <w:szCs w:val="19"/>
              </w:rPr>
              <w:t xml:space="preserve">Term</w:t>
            </w:r>
          </w:p>
        </w:tc>
        <w:tc>
          <w:tcPr>
            <w:tcW w:type="dxa" w:w="6750"/>
            <w:shd w:fill="1F3864" w:val="clear"/>
            <w:tcMar>
              <w:top w:type="dxa" w:w="80"/>
              <w:left w:type="dxa" w:w="110"/>
              <w:bottom w:type="dxa" w:w="80"/>
              <w:right w:type="dxa" w:w="110"/>
            </w:tcMar>
          </w:tcPr>
          <w:p>
            <w:r>
              <w:rPr>
                <w:b/>
                <w:bCs/>
                <w:color w:val="FFFFFF"/>
                <w:sz w:val="19"/>
                <w:szCs w:val="19"/>
              </w:rPr>
              <w:t xml:space="preserve">Meaning</w:t>
            </w:r>
          </w:p>
        </w:tc>
      </w:tr>
      <w:tr>
        <w:tc>
          <w:tcPr>
            <w:tcW w:type="dxa" w:w="2600"/>
            <w:tcMar>
              <w:top w:type="dxa" w:w="80"/>
              <w:left w:type="dxa" w:w="110"/>
              <w:bottom w:type="dxa" w:w="80"/>
              <w:right w:type="dxa" w:w="110"/>
            </w:tcMar>
          </w:tcPr>
          <w:p>
            <w:r>
              <w:rPr>
                <w:b w:val="false"/>
                <w:bCs w:val="false"/>
                <w:color w:val="222222"/>
                <w:sz w:val="19"/>
                <w:szCs w:val="19"/>
              </w:rPr>
              <w:t xml:space="preserve">Khasra number</w:t>
            </w:r>
          </w:p>
        </w:tc>
        <w:tc>
          <w:tcPr>
            <w:tcW w:type="dxa" w:w="6750"/>
            <w:tcMar>
              <w:top w:type="dxa" w:w="80"/>
              <w:left w:type="dxa" w:w="110"/>
              <w:bottom w:type="dxa" w:w="80"/>
              <w:right w:type="dxa" w:w="110"/>
            </w:tcMar>
          </w:tcPr>
          <w:p>
            <w:r>
              <w:rPr>
                <w:b w:val="false"/>
                <w:bCs w:val="false"/>
                <w:color w:val="222222"/>
                <w:sz w:val="19"/>
                <w:szCs w:val="19"/>
              </w:rPr>
              <w:t xml:space="preserve">Unique identifier for a specific parcel of agricultural land within a village</w:t>
            </w:r>
          </w:p>
        </w:tc>
      </w:tr>
      <w:tr>
        <w:tc>
          <w:tcPr>
            <w:tcW w:type="dxa" w:w="2600"/>
            <w:shd w:fill="EAF1EF" w:val="clear"/>
            <w:tcMar>
              <w:top w:type="dxa" w:w="80"/>
              <w:left w:type="dxa" w:w="110"/>
              <w:bottom w:type="dxa" w:w="80"/>
              <w:right w:type="dxa" w:w="110"/>
            </w:tcMar>
          </w:tcPr>
          <w:p>
            <w:r>
              <w:rPr>
                <w:b w:val="false"/>
                <w:bCs w:val="false"/>
                <w:color w:val="222222"/>
                <w:sz w:val="19"/>
                <w:szCs w:val="19"/>
              </w:rPr>
              <w:t xml:space="preserve">Khata number</w:t>
            </w:r>
          </w:p>
        </w:tc>
        <w:tc>
          <w:tcPr>
            <w:tcW w:type="dxa" w:w="6750"/>
            <w:shd w:fill="EAF1EF" w:val="clear"/>
            <w:tcMar>
              <w:top w:type="dxa" w:w="80"/>
              <w:left w:type="dxa" w:w="110"/>
              <w:bottom w:type="dxa" w:w="80"/>
              <w:right w:type="dxa" w:w="110"/>
            </w:tcMar>
          </w:tcPr>
          <w:p>
            <w:r>
              <w:rPr>
                <w:b w:val="false"/>
                <w:bCs w:val="false"/>
                <w:color w:val="222222"/>
                <w:sz w:val="19"/>
                <w:szCs w:val="19"/>
              </w:rPr>
              <w:t xml:space="preserve">Identifier grouping all land parcels owned by a particular landholder/family in a village</w:t>
            </w:r>
          </w:p>
        </w:tc>
      </w:tr>
      <w:tr>
        <w:tc>
          <w:tcPr>
            <w:tcW w:type="dxa" w:w="2600"/>
            <w:tcMar>
              <w:top w:type="dxa" w:w="80"/>
              <w:left w:type="dxa" w:w="110"/>
              <w:bottom w:type="dxa" w:w="80"/>
              <w:right w:type="dxa" w:w="110"/>
            </w:tcMar>
          </w:tcPr>
          <w:p>
            <w:r>
              <w:rPr>
                <w:b w:val="false"/>
                <w:bCs w:val="false"/>
                <w:color w:val="222222"/>
                <w:sz w:val="19"/>
                <w:szCs w:val="19"/>
              </w:rPr>
              <w:t xml:space="preserve">RoR (Record of Rights)</w:t>
            </w:r>
          </w:p>
        </w:tc>
        <w:tc>
          <w:tcPr>
            <w:tcW w:type="dxa" w:w="6750"/>
            <w:tcMar>
              <w:top w:type="dxa" w:w="80"/>
              <w:left w:type="dxa" w:w="110"/>
              <w:bottom w:type="dxa" w:w="80"/>
              <w:right w:type="dxa" w:w="110"/>
            </w:tcMar>
          </w:tcPr>
          <w:p>
            <w:r>
              <w:rPr>
                <w:b w:val="false"/>
                <w:bCs w:val="false"/>
                <w:color w:val="222222"/>
                <w:sz w:val="19"/>
                <w:szCs w:val="19"/>
              </w:rPr>
              <w:t xml:space="preserve">The core legal land record showing ownership, tenancy, and crop/land-use details</w:t>
            </w:r>
          </w:p>
        </w:tc>
      </w:tr>
      <w:tr>
        <w:tc>
          <w:tcPr>
            <w:tcW w:type="dxa" w:w="2600"/>
            <w:shd w:fill="EAF1EF" w:val="clear"/>
            <w:tcMar>
              <w:top w:type="dxa" w:w="80"/>
              <w:left w:type="dxa" w:w="110"/>
              <w:bottom w:type="dxa" w:w="80"/>
              <w:right w:type="dxa" w:w="110"/>
            </w:tcMar>
          </w:tcPr>
          <w:p>
            <w:r>
              <w:rPr>
                <w:b w:val="false"/>
                <w:bCs w:val="false"/>
                <w:color w:val="222222"/>
                <w:sz w:val="19"/>
                <w:szCs w:val="19"/>
              </w:rPr>
              <w:t xml:space="preserve">Mutation</w:t>
            </w:r>
          </w:p>
        </w:tc>
        <w:tc>
          <w:tcPr>
            <w:tcW w:type="dxa" w:w="6750"/>
            <w:shd w:fill="EAF1EF" w:val="clear"/>
            <w:tcMar>
              <w:top w:type="dxa" w:w="80"/>
              <w:left w:type="dxa" w:w="110"/>
              <w:bottom w:type="dxa" w:w="80"/>
              <w:right w:type="dxa" w:w="110"/>
            </w:tcMar>
          </w:tcPr>
          <w:p>
            <w:r>
              <w:rPr>
                <w:b w:val="false"/>
                <w:bCs w:val="false"/>
                <w:color w:val="222222"/>
                <w:sz w:val="19"/>
                <w:szCs w:val="19"/>
              </w:rPr>
              <w:t xml:space="preserve">Formal update to land ownership records following sale, inheritance, or transfer</w:t>
            </w:r>
          </w:p>
        </w:tc>
      </w:tr>
      <w:tr>
        <w:tc>
          <w:tcPr>
            <w:tcW w:type="dxa" w:w="2600"/>
            <w:tcMar>
              <w:top w:type="dxa" w:w="80"/>
              <w:left w:type="dxa" w:w="110"/>
              <w:bottom w:type="dxa" w:w="80"/>
              <w:right w:type="dxa" w:w="110"/>
            </w:tcMar>
          </w:tcPr>
          <w:p>
            <w:r>
              <w:rPr>
                <w:b w:val="false"/>
                <w:bCs w:val="false"/>
                <w:color w:val="222222"/>
                <w:sz w:val="19"/>
                <w:szCs w:val="19"/>
              </w:rPr>
              <w:t xml:space="preserve">DILRMP</w:t>
            </w:r>
          </w:p>
        </w:tc>
        <w:tc>
          <w:tcPr>
            <w:tcW w:type="dxa" w:w="6750"/>
            <w:tcMar>
              <w:top w:type="dxa" w:w="80"/>
              <w:left w:type="dxa" w:w="110"/>
              <w:bottom w:type="dxa" w:w="80"/>
              <w:right w:type="dxa" w:w="110"/>
            </w:tcMar>
          </w:tcPr>
          <w:p>
            <w:r>
              <w:rPr>
                <w:b w:val="false"/>
                <w:bCs w:val="false"/>
                <w:color w:val="222222"/>
                <w:sz w:val="19"/>
                <w:szCs w:val="19"/>
              </w:rPr>
              <w:t xml:space="preserve">Digital India Land Records Modernization Programme — the central scheme this PS sits under</w:t>
            </w:r>
          </w:p>
        </w:tc>
      </w:tr>
      <w:tr>
        <w:tc>
          <w:tcPr>
            <w:tcW w:type="dxa" w:w="2600"/>
            <w:shd w:fill="EAF1EF" w:val="clear"/>
            <w:tcMar>
              <w:top w:type="dxa" w:w="80"/>
              <w:left w:type="dxa" w:w="110"/>
              <w:bottom w:type="dxa" w:w="80"/>
              <w:right w:type="dxa" w:w="110"/>
            </w:tcMar>
          </w:tcPr>
          <w:p>
            <w:r>
              <w:rPr>
                <w:b w:val="false"/>
                <w:bCs w:val="false"/>
                <w:color w:val="222222"/>
                <w:sz w:val="19"/>
                <w:szCs w:val="19"/>
              </w:rPr>
              <w:t xml:space="preserve">LRMS</w:t>
            </w:r>
          </w:p>
        </w:tc>
        <w:tc>
          <w:tcPr>
            <w:tcW w:type="dxa" w:w="6750"/>
            <w:shd w:fill="EAF1EF" w:val="clear"/>
            <w:tcMar>
              <w:top w:type="dxa" w:w="80"/>
              <w:left w:type="dxa" w:w="110"/>
              <w:bottom w:type="dxa" w:w="80"/>
              <w:right w:type="dxa" w:w="110"/>
            </w:tcMar>
          </w:tcPr>
          <w:p>
            <w:r>
              <w:rPr>
                <w:b w:val="false"/>
                <w:bCs w:val="false"/>
                <w:color w:val="222222"/>
                <w:sz w:val="19"/>
                <w:szCs w:val="19"/>
              </w:rPr>
              <w:t xml:space="preserve">Land Records Management System — the state-level software/database of record</w:t>
            </w:r>
          </w:p>
        </w:tc>
      </w:tr>
      <w:tr>
        <w:tc>
          <w:tcPr>
            <w:tcW w:type="dxa" w:w="2600"/>
            <w:tcMar>
              <w:top w:type="dxa" w:w="80"/>
              <w:left w:type="dxa" w:w="110"/>
              <w:bottom w:type="dxa" w:w="80"/>
              <w:right w:type="dxa" w:w="110"/>
            </w:tcMar>
          </w:tcPr>
          <w:p>
            <w:r>
              <w:rPr>
                <w:b w:val="false"/>
                <w:bCs w:val="false"/>
                <w:color w:val="222222"/>
                <w:sz w:val="19"/>
                <w:szCs w:val="19"/>
              </w:rPr>
              <w:t xml:space="preserve">Tehsil / Taluka</w:t>
            </w:r>
          </w:p>
        </w:tc>
        <w:tc>
          <w:tcPr>
            <w:tcW w:type="dxa" w:w="6750"/>
            <w:tcMar>
              <w:top w:type="dxa" w:w="80"/>
              <w:left w:type="dxa" w:w="110"/>
              <w:bottom w:type="dxa" w:w="80"/>
              <w:right w:type="dxa" w:w="110"/>
            </w:tcMar>
          </w:tcPr>
          <w:p>
            <w:r>
              <w:rPr>
                <w:b w:val="false"/>
                <w:bCs w:val="false"/>
                <w:color w:val="222222"/>
                <w:sz w:val="19"/>
                <w:szCs w:val="19"/>
              </w:rPr>
              <w:t xml:space="preserve">Administrative sub-division of a district, below which villages sit</w:t>
            </w:r>
          </w:p>
        </w:tc>
      </w:tr>
    </w:tbl>
    <w:p>
      <w:pPr>
        <w:spacing w:before="400"/>
        <w:jc w:val="center"/>
      </w:pPr>
      <w:r>
        <w:rPr>
          <w:i/>
          <w:iCs/>
          <w:color w:val="595959"/>
          <w:sz w:val="19"/>
          <w:szCs w:val="19"/>
        </w:rPr>
        <w:t xml:space="preserve">— End of document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2026-09-12T15:00:29.505Z</dcterms:created>
  <dcterms:modified xsi:type="dcterms:W3CDTF">2026-09-12T15:00:29.514Z</dcterms:modified>
</cp:coreProperties>
</file>

<file path=docProps/custom.xml><?xml version="1.0" encoding="utf-8"?>
<Properties xmlns="http://schemas.openxmlformats.org/officeDocument/2006/custom-properties" xmlns:vt="http://schemas.openxmlformats.org/officeDocument/2006/docPropsVTypes"/>
</file>