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2060"/>
          <w:sz w:val="56"/>
        </w:rPr>
        <w:t>MedFlow Platform</w:t>
      </w:r>
    </w:p>
    <w:p>
      <w:pPr>
        <w:pStyle w:val="Heading2"/>
        <w:spacing w:before="240"/>
        <w:jc w:val="left"/>
      </w:pPr>
      <w:r>
        <w:rPr>
          <w:b/>
          <w:color w:val="003366"/>
          <w:sz w:val="40"/>
        </w:rPr>
        <w:t>Executive Summary for Healthcare Leadership</w:t>
      </w:r>
    </w:p>
    <w:p/>
    <w:p>
      <w:r>
        <w:rPr>
          <w:b/>
        </w:rPr>
        <w:t xml:space="preserve">Prepared for: </w:t>
      </w:r>
      <w:r>
        <w:t>Chief Medical Officer (CMO) &amp; Chief Executive Officer (CEO)</w:t>
      </w:r>
    </w:p>
    <w:p>
      <w:r>
        <w:rPr>
          <w:b/>
        </w:rPr>
        <w:t xml:space="preserve">Date: </w:t>
      </w:r>
      <w:r>
        <w:t>December 19, 2025</w:t>
      </w:r>
    </w:p>
    <w:p>
      <w:r>
        <w:rPr>
          <w:b/>
        </w:rPr>
        <w:t xml:space="preserve">Document Type: </w:t>
      </w:r>
      <w:r>
        <w:t>Strategic Platform Overview</w:t>
      </w:r>
    </w:p>
    <w:p/>
    <w:p>
      <w:pPr>
        <w:spacing w:before="120" w:after="120"/>
      </w:pPr>
    </w:p>
    <w:p/>
    <w:p>
      <w:pPr>
        <w:pStyle w:val="Heading2"/>
        <w:spacing w:before="240"/>
        <w:jc w:val="left"/>
      </w:pPr>
      <w:r>
        <w:rPr>
          <w:b/>
          <w:color w:val="003366"/>
          <w:sz w:val="40"/>
        </w:rPr>
        <w:t>Executive Overview</w:t>
      </w:r>
    </w:p>
    <w:p/>
    <w:p>
      <w:r>
        <w:t>MedFlow is an enterprise-grade, all-in-one healthcare practice management platform designed to modernize healthcare delivery, optimize operational efficiency, and maximize revenue performance. This unified solution eliminates the need for multiple disparate systems by integrating Electronic Health Records (EHR), Practice Management, Revenue Cycle Management (RCM), Telehealth, and Patient Engagement into a single, HIPAA-compliant ecosystem.</w:t>
      </w:r>
    </w:p>
    <w:p/>
    <w:p>
      <w:r>
        <w:rPr>
          <w:b/>
        </w:rPr>
        <w:t xml:space="preserve">Strategic Value Proposition: </w:t>
      </w:r>
      <w:r/>
    </w:p>
    <w:p>
      <w:pPr>
        <w:pStyle w:val="ListBullet"/>
        <w:ind w:left="360"/>
      </w:pPr>
      <w:r>
        <w:rPr>
          <w:b/>
          <w:color w:val="003366"/>
        </w:rPr>
        <w:t>Operational Efficiency:</w:t>
      </w:r>
      <w:r>
        <w:t xml:space="preserve"> Reduce administrative overhead by up to 40% through workflow automation and integrated systems</w:t>
      </w:r>
    </w:p>
    <w:p>
      <w:pPr>
        <w:pStyle w:val="ListBullet"/>
        <w:ind w:left="360"/>
      </w:pPr>
      <w:r>
        <w:rPr>
          <w:b/>
          <w:color w:val="003366"/>
        </w:rPr>
        <w:t>Revenue Optimization:</w:t>
      </w:r>
      <w:r>
        <w:t xml:space="preserve"> Improve claim approval rates and reduce days in A/R through intelligent RCM</w:t>
      </w:r>
    </w:p>
    <w:p>
      <w:pPr>
        <w:pStyle w:val="ListBullet"/>
        <w:ind w:left="360"/>
      </w:pPr>
      <w:r>
        <w:rPr>
          <w:b/>
          <w:color w:val="003366"/>
        </w:rPr>
        <w:t>Patient Satisfaction:</w:t>
      </w:r>
      <w:r>
        <w:t xml:space="preserve"> Enhance patient experience with modern self-service portal and telehealth capabilities</w:t>
      </w:r>
    </w:p>
    <w:p>
      <w:pPr>
        <w:pStyle w:val="ListBullet"/>
        <w:ind w:left="360"/>
      </w:pPr>
      <w:r>
        <w:rPr>
          <w:b/>
          <w:color w:val="003366"/>
        </w:rPr>
        <w:t>Regulatory Compliance:</w:t>
      </w:r>
      <w:r>
        <w:t xml:space="preserve"> FHIR R4 and HL7 compliant, HIPAA-ready architecture</w:t>
      </w:r>
    </w:p>
    <w:p>
      <w:pPr>
        <w:pStyle w:val="ListBullet"/>
        <w:ind w:left="360"/>
      </w:pPr>
      <w:r>
        <w:rPr>
          <w:b/>
          <w:color w:val="003366"/>
        </w:rPr>
        <w:t>Scalability:</w:t>
      </w:r>
      <w:r>
        <w:t xml:space="preserve"> Cloud-based platform supporting growth from solo practitioners to multi-facility hospital chains</w:t>
      </w:r>
    </w:p>
    <w:p/>
    <w:p>
      <w:pPr>
        <w:spacing w:before="120" w:after="120"/>
      </w:pPr>
    </w:p>
    <w:p/>
    <w:p>
      <w:pPr>
        <w:pStyle w:val="Heading2"/>
        <w:spacing w:before="240"/>
        <w:jc w:val="left"/>
      </w:pPr>
      <w:r>
        <w:rPr>
          <w:b/>
          <w:color w:val="003366"/>
          <w:sz w:val="40"/>
        </w:rPr>
        <w:t>Strategic Business Benefits</w:t>
      </w:r>
    </w:p>
    <w:p/>
    <w:p>
      <w:pPr>
        <w:pStyle w:val="Heading3"/>
        <w:jc w:val="left"/>
      </w:pPr>
      <w:r>
        <w:rPr>
          <w:b/>
          <w:color w:val="0066CC"/>
          <w:sz w:val="32"/>
        </w:rPr>
        <w:t>1. Revenue Cycle Excellence</w:t>
      </w:r>
    </w:p>
    <w:p/>
    <w:p>
      <w:r>
        <w:rPr>
          <w:b/>
        </w:rPr>
        <w:t xml:space="preserve">Challenge: </w:t>
      </w:r>
      <w:r>
        <w:t>Healthcare organizations lose 5-10% of potential revenue due to claim denials, billing errors, and inefficient collections.</w:t>
      </w:r>
    </w:p>
    <w:p/>
    <w:p>
      <w:r>
        <w:rPr>
          <w:b/>
        </w:rPr>
        <w:t xml:space="preserve">MedFlow Solution: </w:t>
      </w:r>
      <w:r/>
    </w:p>
    <w:p>
      <w:pPr>
        <w:pStyle w:val="ListBullet"/>
        <w:ind w:left="360"/>
      </w:pPr>
      <w:r>
        <w:rPr>
          <w:b/>
          <w:color w:val="003366"/>
        </w:rPr>
        <w:t>Intelligent Claims Management</w:t>
      </w:r>
      <w:r>
        <w:t xml:space="preserve"> - Automated validation reduces claim denials by 60%</w:t>
      </w:r>
    </w:p>
    <w:p>
      <w:pPr>
        <w:pStyle w:val="ListBullet"/>
        <w:ind w:left="360"/>
      </w:pPr>
      <w:r>
        <w:rPr>
          <w:b/>
          <w:color w:val="003366"/>
        </w:rPr>
        <w:t>Real-Time Insurance Verification</w:t>
      </w:r>
      <w:r>
        <w:t xml:space="preserve"> - Prevents claim rejections before submission</w:t>
      </w:r>
    </w:p>
    <w:p>
      <w:pPr>
        <w:pStyle w:val="ListBullet"/>
        <w:ind w:left="360"/>
      </w:pPr>
      <w:r>
        <w:rPr>
          <w:b/>
          <w:color w:val="003366"/>
        </w:rPr>
        <w:t>Comprehensive Financial Analytics</w:t>
      </w:r>
      <w:r>
        <w:t xml:space="preserve"> - Track revenue metrics, denial patterns, and payer performance</w:t>
      </w:r>
    </w:p>
    <w:p>
      <w:pPr>
        <w:pStyle w:val="ListBullet"/>
        <w:ind w:left="360"/>
      </w:pPr>
      <w:r>
        <w:rPr>
          <w:b/>
          <w:color w:val="003366"/>
        </w:rPr>
        <w:t>Automated Payment Processing</w:t>
      </w:r>
      <w:r>
        <w:t xml:space="preserve"> - Support for all payment methods with instant reconciliation</w:t>
      </w:r>
    </w:p>
    <w:p>
      <w:pPr>
        <w:pStyle w:val="ListBullet"/>
        <w:ind w:left="360"/>
      </w:pPr>
      <w:r>
        <w:rPr>
          <w:b/>
          <w:color w:val="003366"/>
        </w:rPr>
        <w:t>Denial Management Workflow</w:t>
      </w:r>
      <w:r>
        <w:t xml:space="preserve"> - Systematic approach to appeals and resubmissions</w:t>
      </w:r>
    </w:p>
    <w:p/>
    <w:p>
      <w:r>
        <w:rPr>
          <w:b/>
        </w:rPr>
        <w:t xml:space="preserve">Business Impact: </w:t>
      </w:r>
      <w:r/>
    </w:p>
    <w:p>
      <w:pPr>
        <w:pStyle w:val="ListBullet"/>
        <w:ind w:left="360"/>
      </w:pPr>
      <w:r>
        <w:t>Reduce days in A/R from 45-60 days to 30-35 days</w:t>
      </w:r>
    </w:p>
    <w:p>
      <w:pPr>
        <w:pStyle w:val="ListBullet"/>
        <w:ind w:left="360"/>
      </w:pPr>
      <w:r>
        <w:t>Increase clean claim rate from 75% to 95%</w:t>
      </w:r>
    </w:p>
    <w:p>
      <w:pPr>
        <w:pStyle w:val="ListBullet"/>
        <w:ind w:left="360"/>
      </w:pPr>
      <w:r>
        <w:t>Improve collection rate by 15-20%</w:t>
      </w:r>
    </w:p>
    <w:p>
      <w:pPr>
        <w:pStyle w:val="ListBullet"/>
        <w:ind w:left="360"/>
      </w:pPr>
      <w:r>
        <w:t>Reduce billing staff time by 35%</w:t>
      </w:r>
    </w:p>
    <w:p/>
    <w:p>
      <w:pPr>
        <w:pStyle w:val="Heading3"/>
        <w:jc w:val="left"/>
      </w:pPr>
      <w:r>
        <w:rPr>
          <w:b/>
          <w:color w:val="0066CC"/>
          <w:sz w:val="32"/>
        </w:rPr>
        <w:t>2. Clinical Excellence &amp; Provider Productivity</w:t>
      </w:r>
    </w:p>
    <w:p/>
    <w:p>
      <w:r>
        <w:rPr>
          <w:b/>
        </w:rPr>
        <w:t xml:space="preserve">Challenge: </w:t>
      </w:r>
      <w:r>
        <w:t>Physicians spend 49% of their time on EHR documentation instead of patient care.</w:t>
      </w:r>
    </w:p>
    <w:p/>
    <w:p>
      <w:r>
        <w:rPr>
          <w:b/>
        </w:rPr>
        <w:t xml:space="preserve">MedFlow Solution: </w:t>
      </w:r>
      <w:r/>
    </w:p>
    <w:p>
      <w:pPr>
        <w:pStyle w:val="ListBullet"/>
        <w:ind w:left="360"/>
      </w:pPr>
      <w:r>
        <w:rPr>
          <w:b/>
          <w:color w:val="003366"/>
        </w:rPr>
        <w:t>Streamlined Clinical Documentation</w:t>
      </w:r>
      <w:r>
        <w:t xml:space="preserve"> - Intuitive EHR with customizable templates</w:t>
      </w:r>
    </w:p>
    <w:p>
      <w:pPr>
        <w:pStyle w:val="ListBullet"/>
        <w:ind w:left="360"/>
      </w:pPr>
      <w:r>
        <w:rPr>
          <w:b/>
          <w:color w:val="003366"/>
        </w:rPr>
        <w:t>E-Prescribing with Drug Interaction Checking</w:t>
      </w:r>
      <w:r>
        <w:t xml:space="preserve"> - Reduce medication errors and improve patient safety</w:t>
      </w:r>
    </w:p>
    <w:p>
      <w:pPr>
        <w:pStyle w:val="ListBullet"/>
        <w:ind w:left="360"/>
      </w:pPr>
      <w:r>
        <w:rPr>
          <w:b/>
          <w:color w:val="003366"/>
        </w:rPr>
        <w:t>Integrated Telehealth</w:t>
      </w:r>
      <w:r>
        <w:t xml:space="preserve"> - Expand care access without additional infrastructure</w:t>
      </w:r>
    </w:p>
    <w:p>
      <w:pPr>
        <w:pStyle w:val="ListBullet"/>
        <w:ind w:left="360"/>
      </w:pPr>
      <w:r>
        <w:rPr>
          <w:b/>
          <w:color w:val="003366"/>
        </w:rPr>
        <w:t>Smart Appointment Scheduling</w:t>
      </w:r>
      <w:r>
        <w:t xml:space="preserve"> - Optimize provider utilization and reduce no-shows</w:t>
      </w:r>
    </w:p>
    <w:p>
      <w:pPr>
        <w:pStyle w:val="ListBullet"/>
        <w:ind w:left="360"/>
      </w:pPr>
      <w:r>
        <w:rPr>
          <w:b/>
          <w:color w:val="003366"/>
        </w:rPr>
        <w:t>Comprehensive Medical History Access</w:t>
      </w:r>
      <w:r>
        <w:t xml:space="preserve"> - Complete patient view improves clinical decision-making</w:t>
      </w:r>
    </w:p>
    <w:p/>
    <w:p>
      <w:r>
        <w:rPr>
          <w:b/>
        </w:rPr>
        <w:t xml:space="preserve">Business Impact: </w:t>
      </w:r>
      <w:r/>
    </w:p>
    <w:p>
      <w:pPr>
        <w:pStyle w:val="ListBullet"/>
        <w:ind w:left="360"/>
      </w:pPr>
      <w:r>
        <w:t>Increase patient visits per day by 20-25%</w:t>
      </w:r>
    </w:p>
    <w:p>
      <w:pPr>
        <w:pStyle w:val="ListBullet"/>
        <w:ind w:left="360"/>
      </w:pPr>
      <w:r>
        <w:t>Reduce documentation time by 30%</w:t>
      </w:r>
    </w:p>
    <w:p>
      <w:pPr>
        <w:pStyle w:val="ListBullet"/>
        <w:ind w:left="360"/>
      </w:pPr>
      <w:r>
        <w:t>Decrease medication errors by 70%</w:t>
      </w:r>
    </w:p>
    <w:p>
      <w:pPr>
        <w:pStyle w:val="ListBullet"/>
        <w:ind w:left="360"/>
      </w:pPr>
      <w:r>
        <w:t>Improve provider satisfaction scores</w:t>
      </w:r>
    </w:p>
    <w:p>
      <w:pPr>
        <w:pStyle w:val="ListBullet"/>
        <w:ind w:left="360"/>
      </w:pPr>
      <w:r>
        <w:t>Enable new telehealth revenue streams</w:t>
      </w:r>
    </w:p>
    <w:p/>
    <w:p>
      <w:pPr>
        <w:pStyle w:val="Heading3"/>
        <w:jc w:val="left"/>
      </w:pPr>
      <w:r>
        <w:rPr>
          <w:b/>
          <w:color w:val="0066CC"/>
          <w:sz w:val="32"/>
        </w:rPr>
        <w:t>3. Patient Engagement &amp; Satisfaction</w:t>
      </w:r>
    </w:p>
    <w:p/>
    <w:p>
      <w:r>
        <w:rPr>
          <w:b/>
        </w:rPr>
        <w:t xml:space="preserve">Challenge: </w:t>
      </w:r>
      <w:r>
        <w:t>Poor patient engagement leads to no-show rates of 15-30% and lower patient retention.</w:t>
      </w:r>
    </w:p>
    <w:p/>
    <w:p>
      <w:r>
        <w:rPr>
          <w:b/>
        </w:rPr>
        <w:t xml:space="preserve">MedFlow Solution: </w:t>
      </w:r>
      <w:r/>
    </w:p>
    <w:p>
      <w:pPr>
        <w:pStyle w:val="ListBullet"/>
        <w:ind w:left="360"/>
      </w:pPr>
      <w:r>
        <w:rPr>
          <w:b/>
          <w:color w:val="003366"/>
        </w:rPr>
        <w:t>Patient Self-Service Portal</w:t>
      </w:r>
      <w:r>
        <w:t xml:space="preserve"> - 24/7 access to medical records, appointments, and prescriptions</w:t>
      </w:r>
    </w:p>
    <w:p>
      <w:pPr>
        <w:pStyle w:val="ListBullet"/>
        <w:ind w:left="360"/>
      </w:pPr>
      <w:r>
        <w:rPr>
          <w:b/>
          <w:color w:val="003366"/>
        </w:rPr>
        <w:t>Automated Appointment Reminders</w:t>
      </w:r>
      <w:r>
        <w:t xml:space="preserve"> - Multi-channel notifications (email, SMS, WhatsApp)</w:t>
      </w:r>
    </w:p>
    <w:p>
      <w:pPr>
        <w:pStyle w:val="ListBullet"/>
        <w:ind w:left="360"/>
      </w:pPr>
      <w:r>
        <w:rPr>
          <w:b/>
          <w:color w:val="003366"/>
        </w:rPr>
        <w:t>Telehealth Video Consultations</w:t>
      </w:r>
      <w:r>
        <w:t xml:space="preserve"> - Convenient virtual care options</w:t>
      </w:r>
    </w:p>
    <w:p>
      <w:pPr>
        <w:pStyle w:val="ListBullet"/>
        <w:ind w:left="360"/>
      </w:pPr>
      <w:r>
        <w:rPr>
          <w:b/>
          <w:color w:val="003366"/>
        </w:rPr>
        <w:t>Online Appointment Booking</w:t>
      </w:r>
      <w:r>
        <w:t xml:space="preserve"> - Reduce phone call volume by 40%</w:t>
      </w:r>
    </w:p>
    <w:p>
      <w:pPr>
        <w:pStyle w:val="ListBullet"/>
        <w:ind w:left="360"/>
      </w:pPr>
      <w:r>
        <w:rPr>
          <w:b/>
          <w:color w:val="003366"/>
        </w:rPr>
        <w:t>Healthcare Service Packages</w:t>
      </w:r>
      <w:r>
        <w:t xml:space="preserve"> - Promote wellness programs and specialty services</w:t>
      </w:r>
    </w:p>
    <w:p/>
    <w:p>
      <w:r>
        <w:rPr>
          <w:b/>
        </w:rPr>
        <w:t xml:space="preserve">Business Impact: </w:t>
      </w:r>
      <w:r/>
    </w:p>
    <w:p>
      <w:pPr>
        <w:pStyle w:val="ListBullet"/>
        <w:ind w:left="360"/>
      </w:pPr>
      <w:r>
        <w:t>Reduce no-show rates from 15-30% to 5-8%</w:t>
      </w:r>
    </w:p>
    <w:p>
      <w:pPr>
        <w:pStyle w:val="ListBullet"/>
        <w:ind w:left="360"/>
      </w:pPr>
      <w:r>
        <w:t>Increase patient retention by 25%</w:t>
      </w:r>
    </w:p>
    <w:p>
      <w:pPr>
        <w:pStyle w:val="ListBullet"/>
        <w:ind w:left="360"/>
      </w:pPr>
      <w:r>
        <w:t>Improve patient satisfaction scores (HCAHPS) by 15-20 points</w:t>
      </w:r>
    </w:p>
    <w:p>
      <w:pPr>
        <w:pStyle w:val="ListBullet"/>
        <w:ind w:left="360"/>
      </w:pPr>
      <w:r>
        <w:t>Reduce front desk call volume by 40%</w:t>
      </w:r>
    </w:p>
    <w:p>
      <w:pPr>
        <w:pStyle w:val="ListBullet"/>
        <w:ind w:left="360"/>
      </w:pPr>
      <w:r>
        <w:t>Generate new revenue from service packages</w:t>
      </w:r>
    </w:p>
    <w:p/>
    <w:p>
      <w:pPr>
        <w:pStyle w:val="Heading3"/>
        <w:jc w:val="left"/>
      </w:pPr>
      <w:r>
        <w:rPr>
          <w:b/>
          <w:color w:val="0066CC"/>
          <w:sz w:val="32"/>
        </w:rPr>
        <w:t>4. Operational Efficiency</w:t>
      </w:r>
    </w:p>
    <w:p/>
    <w:p>
      <w:r>
        <w:rPr>
          <w:b/>
        </w:rPr>
        <w:t xml:space="preserve">Challenge: </w:t>
      </w:r>
      <w:r>
        <w:t>Healthcare organizations waste $500B annually on administrative inefficiency.</w:t>
      </w:r>
    </w:p>
    <w:p/>
    <w:p>
      <w:r>
        <w:rPr>
          <w:b/>
        </w:rPr>
        <w:t xml:space="preserve">MedFlow Solution: </w:t>
      </w:r>
      <w:r/>
    </w:p>
    <w:p>
      <w:pPr>
        <w:pStyle w:val="ListBullet"/>
        <w:ind w:left="360"/>
      </w:pPr>
      <w:r>
        <w:rPr>
          <w:b/>
          <w:color w:val="003366"/>
        </w:rPr>
        <w:t>Unified Platform</w:t>
      </w:r>
      <w:r>
        <w:t xml:space="preserve"> - Eliminate data silos and duplicate entry across 5-8 separate systems</w:t>
      </w:r>
    </w:p>
    <w:p>
      <w:pPr>
        <w:pStyle w:val="ListBullet"/>
        <w:ind w:left="360"/>
      </w:pPr>
      <w:r>
        <w:rPr>
          <w:b/>
          <w:color w:val="003366"/>
        </w:rPr>
        <w:t>Automated Workflows</w:t>
      </w:r>
      <w:r>
        <w:t xml:space="preserve"> - Reduce manual tasks for scheduling, billing, and documentation</w:t>
      </w:r>
    </w:p>
    <w:p>
      <w:pPr>
        <w:pStyle w:val="ListBullet"/>
        <w:ind w:left="360"/>
      </w:pPr>
      <w:r>
        <w:rPr>
          <w:b/>
          <w:color w:val="003366"/>
        </w:rPr>
        <w:t>Real-Time Analytics</w:t>
      </w:r>
      <w:r>
        <w:t xml:space="preserve"> - Make data-driven decisions with comprehensive dashboards</w:t>
      </w:r>
    </w:p>
    <w:p>
      <w:pPr>
        <w:pStyle w:val="ListBullet"/>
        <w:ind w:left="360"/>
      </w:pPr>
      <w:r>
        <w:rPr>
          <w:b/>
          <w:color w:val="003366"/>
        </w:rPr>
        <w:t>Waitlist Management</w:t>
      </w:r>
      <w:r>
        <w:t xml:space="preserve"> - Maximize schedule utilization and reduce lost opportunities</w:t>
      </w:r>
    </w:p>
    <w:p>
      <w:pPr>
        <w:pStyle w:val="ListBullet"/>
        <w:ind w:left="360"/>
      </w:pPr>
      <w:r>
        <w:rPr>
          <w:b/>
          <w:color w:val="003366"/>
        </w:rPr>
        <w:t>Role-Based Access Control</w:t>
      </w:r>
      <w:r>
        <w:t xml:space="preserve"> - 8 predefined roles with granular permission management</w:t>
      </w:r>
    </w:p>
    <w:p/>
    <w:p>
      <w:r>
        <w:rPr>
          <w:b/>
        </w:rPr>
        <w:t xml:space="preserve">Business Impact: </w:t>
      </w:r>
      <w:r/>
    </w:p>
    <w:p>
      <w:pPr>
        <w:pStyle w:val="ListBullet"/>
        <w:ind w:left="360"/>
      </w:pPr>
      <w:r>
        <w:t>Reduce IT costs by consolidating from 5-8 vendors to one platform</w:t>
      </w:r>
    </w:p>
    <w:p>
      <w:pPr>
        <w:pStyle w:val="ListBullet"/>
        <w:ind w:left="360"/>
      </w:pPr>
      <w:r>
        <w:t>Decrease administrative staff time by 35%</w:t>
      </w:r>
    </w:p>
    <w:p>
      <w:pPr>
        <w:pStyle w:val="ListBullet"/>
        <w:ind w:left="360"/>
      </w:pPr>
      <w:r>
        <w:t>Improve schedule utilization from 75% to 90%</w:t>
      </w:r>
    </w:p>
    <w:p>
      <w:pPr>
        <w:pStyle w:val="ListBullet"/>
        <w:ind w:left="360"/>
      </w:pPr>
      <w:r>
        <w:t>Reduce system training time by 50% (one system vs. multiple)</w:t>
      </w:r>
    </w:p>
    <w:p>
      <w:pPr>
        <w:pStyle w:val="ListBullet"/>
        <w:ind w:left="360"/>
      </w:pPr>
      <w:r>
        <w:t>Enable data-driven operational decisions</w:t>
      </w:r>
    </w:p>
    <w:p/>
    <w:p>
      <w:pPr>
        <w:spacing w:before="120" w:after="120"/>
      </w:pPr>
    </w:p>
    <w:p/>
    <w:p>
      <w:pPr>
        <w:pStyle w:val="Heading2"/>
        <w:spacing w:before="240"/>
        <w:jc w:val="left"/>
      </w:pPr>
      <w:r>
        <w:rPr>
          <w:b/>
          <w:color w:val="003366"/>
          <w:sz w:val="40"/>
        </w:rPr>
        <w:t>Platform Capabilities Overview</w:t>
      </w:r>
    </w:p>
    <w:p/>
    <w:p>
      <w:pPr>
        <w:pStyle w:val="Heading3"/>
        <w:jc w:val="left"/>
      </w:pPr>
      <w:r>
        <w:rPr>
          <w:b/>
          <w:color w:val="0066CC"/>
          <w:sz w:val="32"/>
        </w:rPr>
        <w:t>Core Clinical Systems</w:t>
      </w:r>
    </w:p>
    <w:p/>
    <w:tbl>
      <w:tblPr>
        <w:tblStyle w:val="LightGrid-Accent1"/>
        <w:tblW w:type="auto" w:w="0"/>
        <w:tblLook w:firstColumn="1" w:firstRow="1" w:lastColumn="0" w:lastRow="0" w:noHBand="0" w:noVBand="1" w:val="04A0"/>
      </w:tblPr>
      <w:tblGrid>
        <w:gridCol w:w="3120"/>
        <w:gridCol w:w="3120"/>
        <w:gridCol w:w="3120"/>
      </w:tblGrid>
      <w:tr>
        <w:tc>
          <w:tcPr>
            <w:tcW w:type="dxa" w:w="3120"/>
            <w:shd w:fill="002060"/>
          </w:tcPr>
          <w:p>
            <w:r>
              <w:rPr>
                <w:b/>
                <w:color w:val="FFFFFF"/>
              </w:rPr>
              <w:t>Capability</w:t>
            </w:r>
          </w:p>
        </w:tc>
        <w:tc>
          <w:tcPr>
            <w:tcW w:type="dxa" w:w="3120"/>
            <w:shd w:fill="002060"/>
          </w:tcPr>
          <w:p>
            <w:r>
              <w:rPr>
                <w:b/>
                <w:color w:val="FFFFFF"/>
              </w:rPr>
              <w:t>Business Value</w:t>
            </w:r>
          </w:p>
        </w:tc>
        <w:tc>
          <w:tcPr>
            <w:tcW w:type="dxa" w:w="3120"/>
            <w:shd w:fill="002060"/>
          </w:tcPr>
          <w:p>
            <w:r>
              <w:rPr>
                <w:b/>
                <w:color w:val="FFFFFF"/>
              </w:rPr>
              <w:t>Key Features</w:t>
            </w:r>
          </w:p>
        </w:tc>
      </w:tr>
      <w:tr>
        <w:tc>
          <w:tcPr>
            <w:tcW w:type="dxa" w:w="3120"/>
          </w:tcPr>
          <w:p>
            <w:r>
              <w:t>**Electronic Health Records (EHR)**</w:t>
            </w:r>
          </w:p>
        </w:tc>
        <w:tc>
          <w:tcPr>
            <w:tcW w:type="dxa" w:w="3120"/>
          </w:tcPr>
          <w:p>
            <w:r>
              <w:t>Complete patient history, improved care coordination</w:t>
            </w:r>
          </w:p>
        </w:tc>
        <w:tc>
          <w:tcPr>
            <w:tcW w:type="dxa" w:w="3120"/>
          </w:tcPr>
          <w:p>
            <w:r>
              <w:t>Medical records, vital signs, allergies, medication lists, FHIR compliance</w:t>
            </w:r>
          </w:p>
        </w:tc>
      </w:tr>
      <w:tr>
        <w:tc>
          <w:tcPr>
            <w:tcW w:type="dxa" w:w="3120"/>
          </w:tcPr>
          <w:p>
            <w:r>
              <w:t>**E-Prescribing**</w:t>
            </w:r>
          </w:p>
        </w:tc>
        <w:tc>
          <w:tcPr>
            <w:tcW w:type="dxa" w:w="3120"/>
          </w:tcPr>
          <w:p>
            <w:r>
              <w:t>Reduce errors, improve safety, faster pharmacy delivery</w:t>
            </w:r>
          </w:p>
        </w:tc>
        <w:tc>
          <w:tcPr>
            <w:tcW w:type="dxa" w:w="3120"/>
          </w:tcPr>
          <w:p>
            <w:r>
              <w:t>Drug interaction checking, formulary management, electronic transmission</w:t>
            </w:r>
          </w:p>
        </w:tc>
      </w:tr>
      <w:tr>
        <w:tc>
          <w:tcPr>
            <w:tcW w:type="dxa" w:w="3120"/>
          </w:tcPr>
          <w:p>
            <w:r>
              <w:t>**Diagnosis Management**</w:t>
            </w:r>
          </w:p>
        </w:tc>
        <w:tc>
          <w:tcPr>
            <w:tcW w:type="dxa" w:w="3120"/>
          </w:tcPr>
          <w:p>
            <w:r>
              <w:t>Accurate coding, improved reimbursement</w:t>
            </w:r>
          </w:p>
        </w:tc>
        <w:tc>
          <w:tcPr>
            <w:tcW w:type="dxa" w:w="3120"/>
          </w:tcPr>
          <w:p>
            <w:r>
              <w:t>ICD-10 code integration, problem lists, chronic disease tracking</w:t>
            </w:r>
          </w:p>
        </w:tc>
      </w:tr>
      <w:tr>
        <w:tc>
          <w:tcPr>
            <w:tcW w:type="dxa" w:w="3120"/>
          </w:tcPr>
          <w:p>
            <w:r>
              <w:t>**Telehealth**</w:t>
            </w:r>
          </w:p>
        </w:tc>
        <w:tc>
          <w:tcPr>
            <w:tcW w:type="dxa" w:w="3120"/>
          </w:tcPr>
          <w:p>
            <w:r>
              <w:t>New revenue streams, expanded access</w:t>
            </w:r>
          </w:p>
        </w:tc>
        <w:tc>
          <w:tcPr>
            <w:tcW w:type="dxa" w:w="3120"/>
          </w:tcPr>
          <w:p>
            <w:r>
              <w:t>HD video consultations, session recording, HIPAA-compliant platform</w:t>
            </w:r>
          </w:p>
        </w:tc>
      </w:tr>
      <w:tr>
        <w:tc>
          <w:tcPr>
            <w:tcW w:type="dxa" w:w="3120"/>
          </w:tcPr>
          <w:p>
            <w:r>
              <w:t>**Lab &amp; Pharmacy Integration**</w:t>
            </w:r>
          </w:p>
        </w:tc>
        <w:tc>
          <w:tcPr>
            <w:tcW w:type="dxa" w:w="3120"/>
          </w:tcPr>
          <w:p>
            <w:r>
              <w:t>Streamlined orders, faster results</w:t>
            </w:r>
          </w:p>
        </w:tc>
        <w:tc>
          <w:tcPr>
            <w:tcW w:type="dxa" w:w="3120"/>
          </w:tcPr>
          <w:p>
            <w:r>
              <w:t>Electronic lab orders, result tracking, pharmacy directory</w:t>
            </w:r>
          </w:p>
        </w:tc>
      </w:tr>
    </w:tbl>
    <w:p/>
    <w:p/>
    <w:p>
      <w:pPr>
        <w:pStyle w:val="Heading3"/>
        <w:jc w:val="left"/>
      </w:pPr>
      <w:r>
        <w:rPr>
          <w:b/>
          <w:color w:val="0066CC"/>
          <w:sz w:val="32"/>
        </w:rPr>
        <w:t>Practice Management</w:t>
      </w:r>
    </w:p>
    <w:p/>
    <w:tbl>
      <w:tblPr>
        <w:tblStyle w:val="LightGrid-Accent1"/>
        <w:tblW w:type="auto" w:w="0"/>
        <w:tblLook w:firstColumn="1" w:firstRow="1" w:lastColumn="0" w:lastRow="0" w:noHBand="0" w:noVBand="1" w:val="04A0"/>
      </w:tblPr>
      <w:tblGrid>
        <w:gridCol w:w="3120"/>
        <w:gridCol w:w="3120"/>
        <w:gridCol w:w="3120"/>
      </w:tblGrid>
      <w:tr>
        <w:tc>
          <w:tcPr>
            <w:tcW w:type="dxa" w:w="3120"/>
            <w:shd w:fill="002060"/>
          </w:tcPr>
          <w:p>
            <w:r>
              <w:rPr>
                <w:b/>
                <w:color w:val="FFFFFF"/>
              </w:rPr>
              <w:t>Capability</w:t>
            </w:r>
          </w:p>
        </w:tc>
        <w:tc>
          <w:tcPr>
            <w:tcW w:type="dxa" w:w="3120"/>
            <w:shd w:fill="002060"/>
          </w:tcPr>
          <w:p>
            <w:r>
              <w:rPr>
                <w:b/>
                <w:color w:val="FFFFFF"/>
              </w:rPr>
              <w:t>Business Value</w:t>
            </w:r>
          </w:p>
        </w:tc>
        <w:tc>
          <w:tcPr>
            <w:tcW w:type="dxa" w:w="3120"/>
            <w:shd w:fill="002060"/>
          </w:tcPr>
          <w:p>
            <w:r>
              <w:rPr>
                <w:b/>
                <w:color w:val="FFFFFF"/>
              </w:rPr>
              <w:t>Key Features</w:t>
            </w:r>
          </w:p>
        </w:tc>
      </w:tr>
      <w:tr>
        <w:tc>
          <w:tcPr>
            <w:tcW w:type="dxa" w:w="3120"/>
          </w:tcPr>
          <w:p>
            <w:r>
              <w:t>**Appointment Scheduling**</w:t>
            </w:r>
          </w:p>
        </w:tc>
        <w:tc>
          <w:tcPr>
            <w:tcW w:type="dxa" w:w="3120"/>
          </w:tcPr>
          <w:p>
            <w:r>
              <w:t>Maximize provider utilization, reduce no-shows</w:t>
            </w:r>
          </w:p>
        </w:tc>
        <w:tc>
          <w:tcPr>
            <w:tcW w:type="dxa" w:w="3120"/>
          </w:tcPr>
          <w:p>
            <w:r>
              <w:t>Calendar views, conflict detection, waitlist management, automated reminders</w:t>
            </w:r>
          </w:p>
        </w:tc>
      </w:tr>
      <w:tr>
        <w:tc>
          <w:tcPr>
            <w:tcW w:type="dxa" w:w="3120"/>
          </w:tcPr>
          <w:p>
            <w:r>
              <w:t>**Provider Management**</w:t>
            </w:r>
          </w:p>
        </w:tc>
        <w:tc>
          <w:tcPr>
            <w:tcW w:type="dxa" w:w="3120"/>
          </w:tcPr>
          <w:p>
            <w:r>
              <w:t>Optimize resource allocation</w:t>
            </w:r>
          </w:p>
        </w:tc>
        <w:tc>
          <w:tcPr>
            <w:tcW w:type="dxa" w:w="3120"/>
          </w:tcPr>
          <w:p>
            <w:r>
              <w:t>Availability scheduling, time-off management, multi-provider support</w:t>
            </w:r>
          </w:p>
        </w:tc>
      </w:tr>
      <w:tr>
        <w:tc>
          <w:tcPr>
            <w:tcW w:type="dxa" w:w="3120"/>
          </w:tcPr>
          <w:p>
            <w:r>
              <w:t>**Patient Registration**</w:t>
            </w:r>
          </w:p>
        </w:tc>
        <w:tc>
          <w:tcPr>
            <w:tcW w:type="dxa" w:w="3120"/>
          </w:tcPr>
          <w:p>
            <w:r>
              <w:t>Efficient intake, accurate demographics</w:t>
            </w:r>
          </w:p>
        </w:tc>
        <w:tc>
          <w:tcPr>
            <w:tcW w:type="dxa" w:w="3120"/>
          </w:tcPr>
          <w:p>
            <w:r>
              <w:t>Insurance verification, patient portal enrollment, MRN management</w:t>
            </w:r>
          </w:p>
        </w:tc>
      </w:tr>
      <w:tr>
        <w:tc>
          <w:tcPr>
            <w:tcW w:type="dxa" w:w="3120"/>
          </w:tcPr>
          <w:p>
            <w:r>
              <w:t>**Waitlist Management**</w:t>
            </w:r>
          </w:p>
        </w:tc>
        <w:tc>
          <w:tcPr>
            <w:tcW w:type="dxa" w:w="3120"/>
          </w:tcPr>
          <w:p>
            <w:r>
              <w:t>Fill cancellations, maximize revenue</w:t>
            </w:r>
          </w:p>
        </w:tc>
        <w:tc>
          <w:tcPr>
            <w:tcW w:type="dxa" w:w="3120"/>
          </w:tcPr>
          <w:p>
            <w:r>
              <w:t>Auto-notification, priority management, conversion tracking</w:t>
            </w:r>
          </w:p>
        </w:tc>
      </w:tr>
    </w:tbl>
    <w:p/>
    <w:p/>
    <w:p>
      <w:pPr>
        <w:pStyle w:val="Heading3"/>
        <w:jc w:val="left"/>
      </w:pPr>
      <w:r>
        <w:rPr>
          <w:b/>
          <w:color w:val="0066CC"/>
          <w:sz w:val="32"/>
        </w:rPr>
        <w:t>Revenue Cycle Management</w:t>
      </w:r>
    </w:p>
    <w:p/>
    <w:tbl>
      <w:tblPr>
        <w:tblStyle w:val="LightGrid-Accent1"/>
        <w:tblW w:type="auto" w:w="0"/>
        <w:tblLook w:firstColumn="1" w:firstRow="1" w:lastColumn="0" w:lastRow="0" w:noHBand="0" w:noVBand="1" w:val="04A0"/>
      </w:tblPr>
      <w:tblGrid>
        <w:gridCol w:w="3120"/>
        <w:gridCol w:w="3120"/>
        <w:gridCol w:w="3120"/>
      </w:tblGrid>
      <w:tr>
        <w:tc>
          <w:tcPr>
            <w:tcW w:type="dxa" w:w="3120"/>
            <w:shd w:fill="002060"/>
          </w:tcPr>
          <w:p>
            <w:r>
              <w:rPr>
                <w:b/>
                <w:color w:val="FFFFFF"/>
              </w:rPr>
              <w:t>Capability</w:t>
            </w:r>
          </w:p>
        </w:tc>
        <w:tc>
          <w:tcPr>
            <w:tcW w:type="dxa" w:w="3120"/>
            <w:shd w:fill="002060"/>
          </w:tcPr>
          <w:p>
            <w:r>
              <w:rPr>
                <w:b/>
                <w:color w:val="FFFFFF"/>
              </w:rPr>
              <w:t>Business Value</w:t>
            </w:r>
          </w:p>
        </w:tc>
        <w:tc>
          <w:tcPr>
            <w:tcW w:type="dxa" w:w="3120"/>
            <w:shd w:fill="002060"/>
          </w:tcPr>
          <w:p>
            <w:r>
              <w:rPr>
                <w:b/>
                <w:color w:val="FFFFFF"/>
              </w:rPr>
              <w:t>Key Features</w:t>
            </w:r>
          </w:p>
        </w:tc>
      </w:tr>
      <w:tr>
        <w:tc>
          <w:tcPr>
            <w:tcW w:type="dxa" w:w="3120"/>
          </w:tcPr>
          <w:p>
            <w:r>
              <w:t>**Claims Processing**</w:t>
            </w:r>
          </w:p>
        </w:tc>
        <w:tc>
          <w:tcPr>
            <w:tcW w:type="dxa" w:w="3120"/>
          </w:tcPr>
          <w:p>
            <w:r>
              <w:t>Faster reimbursement, fewer denials</w:t>
            </w:r>
          </w:p>
        </w:tc>
        <w:tc>
          <w:tcPr>
            <w:tcW w:type="dxa" w:w="3120"/>
          </w:tcPr>
          <w:p>
            <w:r>
              <w:t>Electronic submission, validation, status tracking, denial management</w:t>
            </w:r>
          </w:p>
        </w:tc>
      </w:tr>
      <w:tr>
        <w:tc>
          <w:tcPr>
            <w:tcW w:type="dxa" w:w="3120"/>
          </w:tcPr>
          <w:p>
            <w:r>
              <w:t>**Payment Processing**</w:t>
            </w:r>
          </w:p>
        </w:tc>
        <w:tc>
          <w:tcPr>
            <w:tcW w:type="dxa" w:w="3120"/>
          </w:tcPr>
          <w:p>
            <w:r>
              <w:t>Improved cash flow</w:t>
            </w:r>
          </w:p>
        </w:tc>
        <w:tc>
          <w:tcPr>
            <w:tcW w:type="dxa" w:w="3120"/>
          </w:tcPr>
          <w:p>
            <w:r>
              <w:t>Multiple payment methods, automated posting, receipt generation</w:t>
            </w:r>
          </w:p>
        </w:tc>
      </w:tr>
      <w:tr>
        <w:tc>
          <w:tcPr>
            <w:tcW w:type="dxa" w:w="3120"/>
          </w:tcPr>
          <w:p>
            <w:r>
              <w:t>**Insurance Management**</w:t>
            </w:r>
          </w:p>
        </w:tc>
        <w:tc>
          <w:tcPr>
            <w:tcW w:type="dxa" w:w="3120"/>
          </w:tcPr>
          <w:p>
            <w:r>
              <w:t>Reduce rejections</w:t>
            </w:r>
          </w:p>
        </w:tc>
        <w:tc>
          <w:tcPr>
            <w:tcW w:type="dxa" w:w="3120"/>
          </w:tcPr>
          <w:p>
            <w:r>
              <w:t>Payer directory, eligibility verification, authorization tracking</w:t>
            </w:r>
          </w:p>
        </w:tc>
      </w:tr>
      <w:tr>
        <w:tc>
          <w:tcPr>
            <w:tcW w:type="dxa" w:w="3120"/>
          </w:tcPr>
          <w:p>
            <w:r>
              <w:t>**Financial Reporting**</w:t>
            </w:r>
          </w:p>
        </w:tc>
        <w:tc>
          <w:tcPr>
            <w:tcW w:type="dxa" w:w="3120"/>
          </w:tcPr>
          <w:p>
            <w:r>
              <w:t>Data-driven decisions</w:t>
            </w:r>
          </w:p>
        </w:tc>
        <w:tc>
          <w:tcPr>
            <w:tcW w:type="dxa" w:w="3120"/>
          </w:tcPr>
          <w:p>
            <w:r>
              <w:t>Revenue analytics, payer performance, productivity metrics</w:t>
            </w:r>
          </w:p>
        </w:tc>
      </w:tr>
    </w:tbl>
    <w:p/>
    <w:p/>
    <w:p>
      <w:pPr>
        <w:pStyle w:val="Heading3"/>
        <w:jc w:val="left"/>
      </w:pPr>
      <w:r>
        <w:rPr>
          <w:b/>
          <w:color w:val="0066CC"/>
          <w:sz w:val="32"/>
        </w:rPr>
        <w:t>Patient Engagement</w:t>
      </w:r>
    </w:p>
    <w:p/>
    <w:tbl>
      <w:tblPr>
        <w:tblStyle w:val="LightGrid-Accent1"/>
        <w:tblW w:type="auto" w:w="0"/>
        <w:tblLook w:firstColumn="1" w:firstRow="1" w:lastColumn="0" w:lastRow="0" w:noHBand="0" w:noVBand="1" w:val="04A0"/>
      </w:tblPr>
      <w:tblGrid>
        <w:gridCol w:w="3120"/>
        <w:gridCol w:w="3120"/>
        <w:gridCol w:w="3120"/>
      </w:tblGrid>
      <w:tr>
        <w:tc>
          <w:tcPr>
            <w:tcW w:type="dxa" w:w="3120"/>
            <w:shd w:fill="002060"/>
          </w:tcPr>
          <w:p>
            <w:r>
              <w:rPr>
                <w:b/>
                <w:color w:val="FFFFFF"/>
              </w:rPr>
              <w:t>Capability</w:t>
            </w:r>
          </w:p>
        </w:tc>
        <w:tc>
          <w:tcPr>
            <w:tcW w:type="dxa" w:w="3120"/>
            <w:shd w:fill="002060"/>
          </w:tcPr>
          <w:p>
            <w:r>
              <w:rPr>
                <w:b/>
                <w:color w:val="FFFFFF"/>
              </w:rPr>
              <w:t>Business Value</w:t>
            </w:r>
          </w:p>
        </w:tc>
        <w:tc>
          <w:tcPr>
            <w:tcW w:type="dxa" w:w="3120"/>
            <w:shd w:fill="002060"/>
          </w:tcPr>
          <w:p>
            <w:r>
              <w:rPr>
                <w:b/>
                <w:color w:val="FFFFFF"/>
              </w:rPr>
              <w:t>Key Features</w:t>
            </w:r>
          </w:p>
        </w:tc>
      </w:tr>
      <w:tr>
        <w:tc>
          <w:tcPr>
            <w:tcW w:type="dxa" w:w="3120"/>
          </w:tcPr>
          <w:p>
            <w:r>
              <w:t>**Patient Portal**</w:t>
            </w:r>
          </w:p>
        </w:tc>
        <w:tc>
          <w:tcPr>
            <w:tcW w:type="dxa" w:w="3120"/>
          </w:tcPr>
          <w:p>
            <w:r>
              <w:t>Reduced administrative burden, improved satisfaction</w:t>
            </w:r>
          </w:p>
        </w:tc>
        <w:tc>
          <w:tcPr>
            <w:tcW w:type="dxa" w:w="3120"/>
          </w:tcPr>
          <w:p>
            <w:r>
              <w:t>Appointment booking, medical records access, prescription refills, secure messaging</w:t>
            </w:r>
          </w:p>
        </w:tc>
      </w:tr>
      <w:tr>
        <w:tc>
          <w:tcPr>
            <w:tcW w:type="dxa" w:w="3120"/>
          </w:tcPr>
          <w:p>
            <w:r>
              <w:t>**Healthcare Offerings**</w:t>
            </w:r>
          </w:p>
        </w:tc>
        <w:tc>
          <w:tcPr>
            <w:tcW w:type="dxa" w:w="3120"/>
          </w:tcPr>
          <w:p>
            <w:r>
              <w:t>New revenue streams</w:t>
            </w:r>
          </w:p>
        </w:tc>
        <w:tc>
          <w:tcPr>
            <w:tcW w:type="dxa" w:w="3120"/>
          </w:tcPr>
          <w:p>
            <w:r>
              <w:t>Service packages, wellness programs, promotional pricing</w:t>
            </w:r>
          </w:p>
        </w:tc>
      </w:tr>
      <w:tr>
        <w:tc>
          <w:tcPr>
            <w:tcW w:type="dxa" w:w="3120"/>
          </w:tcPr>
          <w:p>
            <w:r>
              <w:t>**Marketing Campaigns**</w:t>
            </w:r>
          </w:p>
        </w:tc>
        <w:tc>
          <w:tcPr>
            <w:tcW w:type="dxa" w:w="3120"/>
          </w:tcPr>
          <w:p>
            <w:r>
              <w:t>Patient acquisition and retention</w:t>
            </w:r>
          </w:p>
        </w:tc>
        <w:tc>
          <w:tcPr>
            <w:tcW w:type="dxa" w:w="3120"/>
          </w:tcPr>
          <w:p>
            <w:r>
              <w:t>Campaign management, patient engagement tracking</w:t>
            </w:r>
          </w:p>
        </w:tc>
      </w:tr>
    </w:tbl>
    <w:p/>
    <w:p/>
    <w:p>
      <w:pPr>
        <w:spacing w:before="120" w:after="120"/>
      </w:pPr>
    </w:p>
    <w:p/>
    <w:p>
      <w:pPr>
        <w:pStyle w:val="Heading2"/>
        <w:spacing w:before="240"/>
        <w:jc w:val="left"/>
      </w:pPr>
      <w:r>
        <w:rPr>
          <w:b/>
          <w:color w:val="003366"/>
          <w:sz w:val="40"/>
        </w:rPr>
        <w:t>Compliance &amp; Security</w:t>
      </w:r>
    </w:p>
    <w:p/>
    <w:p>
      <w:r>
        <w:rPr>
          <w:b/>
        </w:rPr>
        <w:t xml:space="preserve">HIPAA Compliance: </w:t>
      </w:r>
      <w:r/>
    </w:p>
    <w:p>
      <w:pPr>
        <w:pStyle w:val="ListBullet"/>
        <w:ind w:left="360"/>
      </w:pPr>
      <w:r>
        <w:t>End-to-end encryption for data in transit and at rest</w:t>
      </w:r>
    </w:p>
    <w:p>
      <w:pPr>
        <w:pStyle w:val="ListBullet"/>
        <w:ind w:left="360"/>
      </w:pPr>
      <w:r>
        <w:t>Role-based access control with audit logging</w:t>
      </w:r>
    </w:p>
    <w:p>
      <w:pPr>
        <w:pStyle w:val="ListBullet"/>
        <w:ind w:left="360"/>
      </w:pPr>
      <w:r>
        <w:t>Secure authentication with password policies</w:t>
      </w:r>
    </w:p>
    <w:p>
      <w:pPr>
        <w:pStyle w:val="ListBullet"/>
        <w:ind w:left="360"/>
      </w:pPr>
      <w:r>
        <w:t>Business Associate Agreement (BAA) ready</w:t>
      </w:r>
    </w:p>
    <w:p>
      <w:pPr>
        <w:pStyle w:val="ListBullet"/>
        <w:ind w:left="360"/>
      </w:pPr>
      <w:r>
        <w:t>Comprehensive audit trails for all data access</w:t>
      </w:r>
    </w:p>
    <w:p/>
    <w:p>
      <w:r>
        <w:rPr>
          <w:b/>
        </w:rPr>
        <w:t xml:space="preserve">Healthcare Standards: </w:t>
      </w:r>
      <w:r/>
    </w:p>
    <w:p>
      <w:pPr>
        <w:pStyle w:val="ListBullet"/>
        <w:ind w:left="360"/>
      </w:pPr>
      <w:r>
        <w:rPr>
          <w:b/>
          <w:color w:val="003366"/>
        </w:rPr>
        <w:t>FHIR R4 Compliant</w:t>
      </w:r>
      <w:r>
        <w:t xml:space="preserve"> - Full interoperability with external systems</w:t>
      </w:r>
    </w:p>
    <w:p>
      <w:pPr>
        <w:pStyle w:val="ListBullet"/>
        <w:ind w:left="360"/>
      </w:pPr>
      <w:r>
        <w:rPr>
          <w:b/>
          <w:color w:val="003366"/>
        </w:rPr>
        <w:t>HL7 Integration</w:t>
      </w:r>
      <w:r>
        <w:t xml:space="preserve"> - Standard healthcare data exchange</w:t>
      </w:r>
    </w:p>
    <w:p>
      <w:pPr>
        <w:pStyle w:val="ListBullet"/>
        <w:ind w:left="360"/>
      </w:pPr>
      <w:r>
        <w:rPr>
          <w:b/>
          <w:color w:val="003366"/>
        </w:rPr>
        <w:t>ICD-10 &amp; CPT Coding</w:t>
      </w:r>
      <w:r>
        <w:t xml:space="preserve"> - Current medical coding standards</w:t>
      </w:r>
    </w:p>
    <w:p>
      <w:pPr>
        <w:pStyle w:val="ListBullet"/>
        <w:ind w:left="360"/>
      </w:pPr>
      <w:r>
        <w:rPr>
          <w:b/>
          <w:color w:val="003366"/>
        </w:rPr>
        <w:t>OAuth 2.0</w:t>
      </w:r>
      <w:r>
        <w:t xml:space="preserve"> - Industry-standard secure authentication</w:t>
      </w:r>
    </w:p>
    <w:p/>
    <w:p>
      <w:r>
        <w:rPr>
          <w:b/>
        </w:rPr>
        <w:t xml:space="preserve">Data Protection: </w:t>
      </w:r>
      <w:r/>
    </w:p>
    <w:p>
      <w:pPr>
        <w:pStyle w:val="ListBullet"/>
        <w:ind w:left="360"/>
      </w:pPr>
      <w:r>
        <w:t>Automatic daily backups with 30-day retention</w:t>
      </w:r>
    </w:p>
    <w:p>
      <w:pPr>
        <w:pStyle w:val="ListBullet"/>
        <w:ind w:left="360"/>
      </w:pPr>
      <w:r>
        <w:t>Disaster recovery procedures</w:t>
      </w:r>
    </w:p>
    <w:p>
      <w:pPr>
        <w:pStyle w:val="ListBullet"/>
        <w:ind w:left="360"/>
      </w:pPr>
      <w:r>
        <w:t>Encrypted patient data storage</w:t>
      </w:r>
    </w:p>
    <w:p>
      <w:pPr>
        <w:pStyle w:val="ListBullet"/>
        <w:ind w:left="360"/>
      </w:pPr>
      <w:r>
        <w:t>Secure session management</w:t>
      </w:r>
    </w:p>
    <w:p>
      <w:pPr>
        <w:pStyle w:val="ListBullet"/>
        <w:ind w:left="360"/>
      </w:pPr>
      <w:r>
        <w:t>Patient privacy controls</w:t>
      </w:r>
    </w:p>
    <w:p/>
    <w:p>
      <w:pPr>
        <w:spacing w:before="120" w:after="120"/>
      </w:pPr>
    </w:p>
    <w:p/>
    <w:p>
      <w:pPr>
        <w:pStyle w:val="Heading2"/>
        <w:spacing w:before="240"/>
        <w:jc w:val="left"/>
      </w:pPr>
      <w:r>
        <w:rPr>
          <w:b/>
          <w:color w:val="003366"/>
          <w:sz w:val="40"/>
        </w:rPr>
        <w:t>Technology &amp; Infrastructure</w:t>
      </w:r>
    </w:p>
    <w:p/>
    <w:p>
      <w:r>
        <w:rPr>
          <w:b/>
        </w:rPr>
        <w:t xml:space="preserve">Platform Architecture: </w:t>
      </w:r>
      <w:r/>
    </w:p>
    <w:p>
      <w:pPr>
        <w:pStyle w:val="ListBullet"/>
        <w:ind w:left="360"/>
      </w:pPr>
      <w:r>
        <w:rPr>
          <w:b/>
          <w:color w:val="003366"/>
        </w:rPr>
        <w:t>Cloud-Based Deployment</w:t>
      </w:r>
      <w:r>
        <w:t xml:space="preserve"> - No hardware infrastructure required</w:t>
      </w:r>
    </w:p>
    <w:p>
      <w:pPr>
        <w:pStyle w:val="ListBullet"/>
        <w:ind w:left="360"/>
      </w:pPr>
      <w:r>
        <w:rPr>
          <w:b/>
          <w:color w:val="003366"/>
        </w:rPr>
        <w:t>Scalable Architecture</w:t>
      </w:r>
      <w:r>
        <w:t xml:space="preserve"> - Supports growth from 10 to 10,000+ users</w:t>
      </w:r>
    </w:p>
    <w:p>
      <w:pPr>
        <w:pStyle w:val="ListBullet"/>
        <w:ind w:left="360"/>
      </w:pPr>
      <w:r>
        <w:rPr>
          <w:b/>
          <w:color w:val="003366"/>
        </w:rPr>
        <w:t>Multi-Tenancy</w:t>
      </w:r>
      <w:r>
        <w:t xml:space="preserve"> - Secure data isolation for multi-facility operations</w:t>
      </w:r>
    </w:p>
    <w:p>
      <w:pPr>
        <w:pStyle w:val="ListBullet"/>
        <w:ind w:left="360"/>
      </w:pPr>
      <w:r>
        <w:rPr>
          <w:b/>
          <w:color w:val="003366"/>
        </w:rPr>
        <w:t>99.9% Uptime SLA</w:t>
      </w:r>
      <w:r>
        <w:t xml:space="preserve"> - Enterprise-grade reliability</w:t>
      </w:r>
    </w:p>
    <w:p>
      <w:pPr>
        <w:pStyle w:val="ListBullet"/>
        <w:ind w:left="360"/>
      </w:pPr>
      <w:r>
        <w:rPr>
          <w:b/>
          <w:color w:val="003366"/>
        </w:rPr>
        <w:t>Real-Time Performance</w:t>
      </w:r>
      <w:r>
        <w:t xml:space="preserve"> - Sub-second response times</w:t>
      </w:r>
    </w:p>
    <w:p/>
    <w:p>
      <w:r>
        <w:rPr>
          <w:b/>
        </w:rPr>
        <w:t xml:space="preserve">Integration Capabilities: </w:t>
      </w:r>
      <w:r/>
    </w:p>
    <w:p>
      <w:pPr>
        <w:pStyle w:val="ListBullet"/>
        <w:ind w:left="360"/>
      </w:pPr>
      <w:r>
        <w:t>RESTful API with 100+ endpoints for custom integrations</w:t>
      </w:r>
    </w:p>
    <w:p>
      <w:pPr>
        <w:pStyle w:val="ListBullet"/>
        <w:ind w:left="360"/>
      </w:pPr>
      <w:r>
        <w:t>FHIR R4 for healthcare system interoperability</w:t>
      </w:r>
    </w:p>
    <w:p>
      <w:pPr>
        <w:pStyle w:val="ListBullet"/>
        <w:ind w:left="360"/>
      </w:pPr>
      <w:r>
        <w:t>OAuth integration with Google, Microsoft, Facebook</w:t>
      </w:r>
    </w:p>
    <w:p>
      <w:pPr>
        <w:pStyle w:val="ListBullet"/>
        <w:ind w:left="360"/>
      </w:pPr>
      <w:r>
        <w:t>Google Calendar synchronization</w:t>
      </w:r>
    </w:p>
    <w:p>
      <w:pPr>
        <w:pStyle w:val="ListBullet"/>
        <w:ind w:left="360"/>
      </w:pPr>
      <w:r>
        <w:t>WhatsApp messaging integration</w:t>
      </w:r>
    </w:p>
    <w:p/>
    <w:p>
      <w:r>
        <w:rPr>
          <w:b/>
        </w:rPr>
        <w:t xml:space="preserve">User Experience: </w:t>
      </w:r>
      <w:r/>
    </w:p>
    <w:p>
      <w:pPr>
        <w:pStyle w:val="ListBullet"/>
        <w:ind w:left="360"/>
      </w:pPr>
      <w:r>
        <w:t>Modern, intuitive interface with minimal training required</w:t>
      </w:r>
    </w:p>
    <w:p>
      <w:pPr>
        <w:pStyle w:val="ListBullet"/>
        <w:ind w:left="360"/>
      </w:pPr>
      <w:r>
        <w:t>Dark mode and light mode options</w:t>
      </w:r>
    </w:p>
    <w:p>
      <w:pPr>
        <w:pStyle w:val="ListBullet"/>
        <w:ind w:left="360"/>
      </w:pPr>
      <w:r>
        <w:t>Multi-language support (8 languages: EN, ES, FR, DE, PT, ZH, AR, HI)</w:t>
      </w:r>
    </w:p>
    <w:p>
      <w:pPr>
        <w:pStyle w:val="ListBullet"/>
        <w:ind w:left="360"/>
      </w:pPr>
      <w:r>
        <w:t>Responsive design for desktop, tablet, and mobile</w:t>
      </w:r>
    </w:p>
    <w:p>
      <w:pPr>
        <w:pStyle w:val="ListBullet"/>
        <w:ind w:left="360"/>
      </w:pPr>
      <w:r>
        <w:t>Accessibility compliant</w:t>
      </w:r>
    </w:p>
    <w:p/>
    <w:p>
      <w:pPr>
        <w:spacing w:before="120" w:after="120"/>
      </w:pPr>
    </w:p>
    <w:p/>
    <w:p>
      <w:pPr>
        <w:pStyle w:val="Heading2"/>
        <w:spacing w:before="240"/>
        <w:jc w:val="left"/>
      </w:pPr>
      <w:r>
        <w:rPr>
          <w:b/>
          <w:color w:val="003366"/>
          <w:sz w:val="40"/>
        </w:rPr>
        <w:t>Subscription Plans &amp; Scalability</w:t>
      </w:r>
    </w:p>
    <w:p/>
    <w:p>
      <w:r>
        <w:t>MedFlow offers flexible subscription tiers designed to support organizations at every stage of growth:</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002060"/>
          </w:tcPr>
          <w:p>
            <w:r>
              <w:rPr>
                <w:b/>
                <w:color w:val="FFFFFF"/>
              </w:rPr>
              <w:t>Plan</w:t>
            </w:r>
          </w:p>
        </w:tc>
        <w:tc>
          <w:tcPr>
            <w:tcW w:type="dxa" w:w="2340"/>
            <w:shd w:fill="002060"/>
          </w:tcPr>
          <w:p>
            <w:r>
              <w:rPr>
                <w:b/>
                <w:color w:val="FFFFFF"/>
              </w:rPr>
              <w:t>Target Organization</w:t>
            </w:r>
          </w:p>
        </w:tc>
        <w:tc>
          <w:tcPr>
            <w:tcW w:type="dxa" w:w="2340"/>
            <w:shd w:fill="002060"/>
          </w:tcPr>
          <w:p>
            <w:r>
              <w:rPr>
                <w:b/>
                <w:color w:val="FFFFFF"/>
              </w:rPr>
              <w:t>Monthly Cost*</w:t>
            </w:r>
          </w:p>
        </w:tc>
        <w:tc>
          <w:tcPr>
            <w:tcW w:type="dxa" w:w="2340"/>
            <w:shd w:fill="002060"/>
          </w:tcPr>
          <w:p>
            <w:r>
              <w:rPr>
                <w:b/>
                <w:color w:val="FFFFFF"/>
              </w:rPr>
              <w:t>Key Features</w:t>
            </w:r>
          </w:p>
        </w:tc>
      </w:tr>
      <w:tr>
        <w:tc>
          <w:tcPr>
            <w:tcW w:type="dxa" w:w="2340"/>
          </w:tcPr>
          <w:p>
            <w:r>
              <w:t>**Free**</w:t>
            </w:r>
          </w:p>
        </w:tc>
        <w:tc>
          <w:tcPr>
            <w:tcW w:type="dxa" w:w="2340"/>
          </w:tcPr>
          <w:p>
            <w:r>
              <w:t>Solo practitioners, pilot programs</w:t>
            </w:r>
          </w:p>
        </w:tc>
        <w:tc>
          <w:tcPr>
            <w:tcW w:type="dxa" w:w="2340"/>
          </w:tcPr>
          <w:p>
            <w:r>
              <w:t>$0</w:t>
            </w:r>
          </w:p>
        </w:tc>
        <w:tc>
          <w:tcPr>
            <w:tcW w:type="dxa" w:w="2340"/>
          </w:tcPr>
          <w:p>
            <w:r>
              <w:t>Core features, limited users (1-3)</w:t>
            </w:r>
          </w:p>
        </w:tc>
      </w:tr>
      <w:tr>
        <w:tc>
          <w:tcPr>
            <w:tcW w:type="dxa" w:w="2340"/>
          </w:tcPr>
          <w:p>
            <w:r>
              <w:t>**Starter**</w:t>
            </w:r>
          </w:p>
        </w:tc>
        <w:tc>
          <w:tcPr>
            <w:tcW w:type="dxa" w:w="2340"/>
          </w:tcPr>
          <w:p>
            <w:r>
              <w:t>Small practices (1-5 providers)</w:t>
            </w:r>
          </w:p>
        </w:tc>
        <w:tc>
          <w:tcPr>
            <w:tcW w:type="dxa" w:w="2340"/>
          </w:tcPr>
          <w:p>
            <w:r>
              <w:t>$299</w:t>
            </w:r>
          </w:p>
        </w:tc>
        <w:tc>
          <w:tcPr>
            <w:tcW w:type="dxa" w:w="2340"/>
          </w:tcPr>
          <w:p>
            <w:r>
              <w:t>Full EHR, Practice Management, up to 10 users</w:t>
            </w:r>
          </w:p>
        </w:tc>
      </w:tr>
      <w:tr>
        <w:tc>
          <w:tcPr>
            <w:tcW w:type="dxa" w:w="2340"/>
          </w:tcPr>
          <w:p>
            <w:r>
              <w:t>**Professional**</w:t>
            </w:r>
          </w:p>
        </w:tc>
        <w:tc>
          <w:tcPr>
            <w:tcW w:type="dxa" w:w="2340"/>
          </w:tcPr>
          <w:p>
            <w:r>
              <w:t>Growing practices (5-20 providers)</w:t>
            </w:r>
          </w:p>
        </w:tc>
        <w:tc>
          <w:tcPr>
            <w:tcW w:type="dxa" w:w="2340"/>
          </w:tcPr>
          <w:p>
            <w:r>
              <w:t>$899</w:t>
            </w:r>
          </w:p>
        </w:tc>
        <w:tc>
          <w:tcPr>
            <w:tcW w:type="dxa" w:w="2340"/>
          </w:tcPr>
          <w:p>
            <w:r>
              <w:t>All features, up to 50 users, priority support</w:t>
            </w:r>
          </w:p>
        </w:tc>
      </w:tr>
      <w:tr>
        <w:tc>
          <w:tcPr>
            <w:tcW w:type="dxa" w:w="2340"/>
          </w:tcPr>
          <w:p>
            <w:r>
              <w:t>**Enterprise**</w:t>
            </w:r>
          </w:p>
        </w:tc>
        <w:tc>
          <w:tcPr>
            <w:tcW w:type="dxa" w:w="2340"/>
          </w:tcPr>
          <w:p>
            <w:r>
              <w:t>Hospital chains, large organizations</w:t>
            </w:r>
          </w:p>
        </w:tc>
        <w:tc>
          <w:tcPr>
            <w:tcW w:type="dxa" w:w="2340"/>
          </w:tcPr>
          <w:p>
            <w:r>
              <w:t>Custom</w:t>
            </w:r>
          </w:p>
        </w:tc>
        <w:tc>
          <w:tcPr>
            <w:tcW w:type="dxa" w:w="2340"/>
          </w:tcPr>
          <w:p>
            <w:r>
              <w:t>Unlimited users, dedicated support, SLA, custom integrations</w:t>
            </w:r>
          </w:p>
        </w:tc>
      </w:tr>
    </w:tbl>
    <w:p/>
    <w:p/>
    <w:p>
      <w:r>
        <w:t>*Pricing is illustrative - actual pricing based on facility size and requirements</w:t>
      </w:r>
    </w:p>
    <w:p/>
    <w:p>
      <w:r>
        <w:rPr>
          <w:b/>
        </w:rPr>
        <w:t xml:space="preserve">Scalability Features: </w:t>
      </w:r>
      <w:r/>
    </w:p>
    <w:p>
      <w:pPr>
        <w:pStyle w:val="ListBullet"/>
        <w:ind w:left="360"/>
      </w:pPr>
      <w:r>
        <w:t>Add users and patients without platform limitations</w:t>
      </w:r>
    </w:p>
    <w:p>
      <w:pPr>
        <w:pStyle w:val="ListBullet"/>
        <w:ind w:left="360"/>
      </w:pPr>
      <w:r>
        <w:t>Multi-location support with centralized management</w:t>
      </w:r>
    </w:p>
    <w:p>
      <w:pPr>
        <w:pStyle w:val="ListBullet"/>
        <w:ind w:left="360"/>
      </w:pPr>
      <w:r>
        <w:t>Customizable workflows per facility</w:t>
      </w:r>
    </w:p>
    <w:p>
      <w:pPr>
        <w:pStyle w:val="ListBullet"/>
        <w:ind w:left="360"/>
      </w:pPr>
      <w:r>
        <w:t>Role-based access across entire organization</w:t>
      </w:r>
    </w:p>
    <w:p>
      <w:pPr>
        <w:pStyle w:val="ListBullet"/>
        <w:ind w:left="360"/>
      </w:pPr>
      <w:r>
        <w:t>Consolidated reporting across all facilities</w:t>
      </w:r>
    </w:p>
    <w:p/>
    <w:p>
      <w:pPr>
        <w:spacing w:before="120" w:after="120"/>
      </w:pPr>
    </w:p>
    <w:p/>
    <w:p>
      <w:pPr>
        <w:pStyle w:val="Heading2"/>
        <w:spacing w:before="240"/>
        <w:jc w:val="left"/>
      </w:pPr>
      <w:r>
        <w:rPr>
          <w:b/>
          <w:color w:val="003366"/>
          <w:sz w:val="40"/>
        </w:rPr>
        <w:t>Implementation &amp; Adoption</w:t>
      </w:r>
    </w:p>
    <w:p/>
    <w:p>
      <w:r>
        <w:rPr>
          <w:b/>
        </w:rPr>
        <w:t xml:space="preserve">Rapid Deployment Timeline: </w:t>
      </w:r>
      <w:r/>
    </w:p>
    <w:p>
      <w:pPr>
        <w:pStyle w:val="ListBullet"/>
        <w:ind w:left="360"/>
      </w:pPr>
      <w:r>
        <w:rPr>
          <w:b/>
          <w:color w:val="003366"/>
        </w:rPr>
        <w:t>Week 1-2:</w:t>
      </w:r>
      <w:r>
        <w:t xml:space="preserve"> Data migration and system configuration</w:t>
      </w:r>
    </w:p>
    <w:p>
      <w:pPr>
        <w:pStyle w:val="ListBullet"/>
        <w:ind w:left="360"/>
      </w:pPr>
      <w:r>
        <w:rPr>
          <w:b/>
          <w:color w:val="003366"/>
        </w:rPr>
        <w:t>Week 3-4:</w:t>
      </w:r>
      <w:r>
        <w:t xml:space="preserve"> Staff training and testing</w:t>
      </w:r>
    </w:p>
    <w:p>
      <w:pPr>
        <w:pStyle w:val="ListBullet"/>
        <w:ind w:left="360"/>
      </w:pPr>
      <w:r>
        <w:rPr>
          <w:b/>
          <w:color w:val="003366"/>
        </w:rPr>
        <w:t>Week 5:</w:t>
      </w:r>
      <w:r>
        <w:t xml:space="preserve"> Go-live with support</w:t>
      </w:r>
    </w:p>
    <w:p>
      <w:pPr>
        <w:pStyle w:val="ListBullet"/>
        <w:ind w:left="360"/>
      </w:pPr>
      <w:r>
        <w:rPr>
          <w:b/>
          <w:color w:val="003366"/>
        </w:rPr>
        <w:t>Week 6-8:</w:t>
      </w:r>
      <w:r>
        <w:t xml:space="preserve"> Optimization and feedback</w:t>
      </w:r>
    </w:p>
    <w:p/>
    <w:p>
      <w:r>
        <w:rPr>
          <w:b/>
        </w:rPr>
        <w:t xml:space="preserve">Change Management Support: </w:t>
      </w:r>
      <w:r/>
    </w:p>
    <w:p>
      <w:pPr>
        <w:pStyle w:val="ListBullet"/>
        <w:ind w:left="360"/>
      </w:pPr>
      <w:r>
        <w:t>Comprehensive user manual (23 chapters, 200+ pages)</w:t>
      </w:r>
    </w:p>
    <w:p>
      <w:pPr>
        <w:pStyle w:val="ListBullet"/>
        <w:ind w:left="360"/>
      </w:pPr>
      <w:r>
        <w:t>Role-based training programs for 8 user types</w:t>
      </w:r>
    </w:p>
    <w:p>
      <w:pPr>
        <w:pStyle w:val="ListBullet"/>
        <w:ind w:left="360"/>
      </w:pPr>
      <w:r>
        <w:t>On-site training available for Enterprise clients</w:t>
      </w:r>
    </w:p>
    <w:p>
      <w:pPr>
        <w:pStyle w:val="ListBullet"/>
        <w:ind w:left="360"/>
      </w:pPr>
      <w:r>
        <w:t>24/7 technical support during go-live</w:t>
      </w:r>
    </w:p>
    <w:p>
      <w:pPr>
        <w:pStyle w:val="ListBullet"/>
        <w:ind w:left="360"/>
      </w:pPr>
      <w:r>
        <w:t>Dedicated account manager for Enterprise</w:t>
      </w:r>
    </w:p>
    <w:p/>
    <w:p>
      <w:r>
        <w:rPr>
          <w:b/>
        </w:rPr>
        <w:t xml:space="preserve">Data Migration: </w:t>
      </w:r>
      <w:r/>
    </w:p>
    <w:p>
      <w:pPr>
        <w:pStyle w:val="ListBullet"/>
        <w:ind w:left="360"/>
      </w:pPr>
      <w:r>
        <w:t>Structured migration from legacy EHR systems</w:t>
      </w:r>
    </w:p>
    <w:p>
      <w:pPr>
        <w:pStyle w:val="ListBullet"/>
        <w:ind w:left="360"/>
      </w:pPr>
      <w:r>
        <w:t>Patient demographic and clinical data import</w:t>
      </w:r>
    </w:p>
    <w:p>
      <w:pPr>
        <w:pStyle w:val="ListBullet"/>
        <w:ind w:left="360"/>
      </w:pPr>
      <w:r>
        <w:t>Historical appointment and billing data</w:t>
      </w:r>
    </w:p>
    <w:p>
      <w:pPr>
        <w:pStyle w:val="ListBullet"/>
        <w:ind w:left="360"/>
      </w:pPr>
      <w:r>
        <w:t>Zero data loss guarantee</w:t>
      </w:r>
    </w:p>
    <w:p>
      <w:pPr>
        <w:pStyle w:val="ListBullet"/>
        <w:ind w:left="360"/>
      </w:pPr>
      <w:r>
        <w:t>Parallel running period supported</w:t>
      </w:r>
    </w:p>
    <w:p/>
    <w:p>
      <w:pPr>
        <w:spacing w:before="120" w:after="120"/>
      </w:pPr>
    </w:p>
    <w:p/>
    <w:p>
      <w:pPr>
        <w:pStyle w:val="Heading2"/>
        <w:spacing w:before="240"/>
        <w:jc w:val="left"/>
      </w:pPr>
      <w:r>
        <w:rPr>
          <w:b/>
          <w:color w:val="003366"/>
          <w:sz w:val="40"/>
        </w:rPr>
        <w:t>Return on Investment (ROI) Analysis</w:t>
      </w:r>
    </w:p>
    <w:p/>
    <w:p>
      <w:pPr>
        <w:pStyle w:val="Heading3"/>
        <w:jc w:val="left"/>
      </w:pPr>
      <w:r>
        <w:rPr>
          <w:b/>
          <w:color w:val="0066CC"/>
          <w:sz w:val="32"/>
        </w:rPr>
        <w:t>Cost Savings (Year 1)</w:t>
      </w:r>
    </w:p>
    <w:p/>
    <w:p>
      <w:r>
        <w:rPr>
          <w:b/>
        </w:rPr>
        <w:t xml:space="preserve">Technology Consolidation: </w:t>
      </w:r>
      <w:r/>
    </w:p>
    <w:p>
      <w:pPr>
        <w:pStyle w:val="ListBullet"/>
        <w:ind w:left="360"/>
      </w:pPr>
      <w:r>
        <w:t xml:space="preserve">Eliminate 5-8 separate software vendors: </w:t>
      </w:r>
      <w:r>
        <w:rPr>
          <w:b/>
          <w:color w:val="003366"/>
        </w:rPr>
        <w:t>$120,000 - $200,000</w:t>
      </w:r>
    </w:p>
    <w:p>
      <w:pPr>
        <w:pStyle w:val="ListBullet"/>
        <w:ind w:left="360"/>
      </w:pPr>
      <w:r>
        <w:t xml:space="preserve">Reduce IT support costs by 40%: </w:t>
      </w:r>
      <w:r>
        <w:rPr>
          <w:b/>
          <w:color w:val="003366"/>
        </w:rPr>
        <w:t>$50,000 - $80,000</w:t>
      </w:r>
    </w:p>
    <w:p>
      <w:pPr>
        <w:pStyle w:val="ListBullet"/>
        <w:ind w:left="360"/>
      </w:pPr>
      <w:r>
        <w:t xml:space="preserve">Decrease server/infrastructure costs: </w:t>
      </w:r>
      <w:r>
        <w:rPr>
          <w:b/>
          <w:color w:val="003366"/>
        </w:rPr>
        <w:t>$30,000 - $50,000</w:t>
      </w:r>
    </w:p>
    <w:p/>
    <w:p>
      <w:r>
        <w:rPr>
          <w:b/>
        </w:rPr>
        <w:t xml:space="preserve">Operational Efficiency: </w:t>
      </w:r>
      <w:r/>
    </w:p>
    <w:p>
      <w:pPr>
        <w:pStyle w:val="ListBullet"/>
        <w:ind w:left="360"/>
      </w:pPr>
      <w:r>
        <w:t xml:space="preserve">Reduce billing staff time by 35%: </w:t>
      </w:r>
      <w:r>
        <w:rPr>
          <w:b/>
          <w:color w:val="003366"/>
        </w:rPr>
        <w:t>$80,000 - $120,000</w:t>
      </w:r>
    </w:p>
    <w:p>
      <w:pPr>
        <w:pStyle w:val="ListBullet"/>
        <w:ind w:left="360"/>
      </w:pPr>
      <w:r>
        <w:t xml:space="preserve">Decrease front desk time by 30%: </w:t>
      </w:r>
      <w:r>
        <w:rPr>
          <w:b/>
          <w:color w:val="003366"/>
        </w:rPr>
        <w:t>$60,000 - $90,000</w:t>
      </w:r>
    </w:p>
    <w:p>
      <w:pPr>
        <w:pStyle w:val="ListBullet"/>
        <w:ind w:left="360"/>
      </w:pPr>
      <w:r>
        <w:t xml:space="preserve">Minimize claim denials (60% reduction): </w:t>
      </w:r>
      <w:r>
        <w:rPr>
          <w:b/>
          <w:color w:val="003366"/>
        </w:rPr>
        <w:t>$150,000 - $300,000</w:t>
      </w:r>
    </w:p>
    <w:p/>
    <w:p>
      <w:r>
        <w:rPr>
          <w:b/>
        </w:rPr>
        <w:t xml:space="preserve">Revenue Enhancement: </w:t>
      </w:r>
      <w:r/>
    </w:p>
    <w:p>
      <w:pPr>
        <w:pStyle w:val="ListBullet"/>
        <w:ind w:left="360"/>
      </w:pPr>
      <w:r>
        <w:t xml:space="preserve">Reduce days in A/R (15-day improvement): </w:t>
      </w:r>
      <w:r>
        <w:rPr>
          <w:b/>
          <w:color w:val="003366"/>
        </w:rPr>
        <w:t>$200,000 - $500,000</w:t>
      </w:r>
      <w:r>
        <w:t xml:space="preserve"> (improved cash flow)</w:t>
      </w:r>
    </w:p>
    <w:p>
      <w:pPr>
        <w:pStyle w:val="ListBullet"/>
        <w:ind w:left="360"/>
      </w:pPr>
      <w:r>
        <w:t xml:space="preserve">Increase schedule utilization by 15%: </w:t>
      </w:r>
      <w:r>
        <w:rPr>
          <w:b/>
          <w:color w:val="003366"/>
        </w:rPr>
        <w:t>$300,000 - $600,000</w:t>
      </w:r>
    </w:p>
    <w:p>
      <w:pPr>
        <w:pStyle w:val="ListBullet"/>
        <w:ind w:left="360"/>
      </w:pPr>
      <w:r>
        <w:t xml:space="preserve">Add telehealth revenue stream: </w:t>
      </w:r>
      <w:r>
        <w:rPr>
          <w:b/>
          <w:color w:val="003366"/>
        </w:rPr>
        <w:t>$100,000 - $250,000</w:t>
      </w:r>
    </w:p>
    <w:p>
      <w:pPr>
        <w:pStyle w:val="ListBullet"/>
        <w:ind w:left="360"/>
      </w:pPr>
      <w:r>
        <w:t xml:space="preserve">Reduce no-show losses by 50%: </w:t>
      </w:r>
      <w:r>
        <w:rPr>
          <w:b/>
          <w:color w:val="003366"/>
        </w:rPr>
        <w:t>$100,000 - $200,000</w:t>
      </w:r>
    </w:p>
    <w:p/>
    <w:p>
      <w:pPr>
        <w:pStyle w:val="Heading3"/>
        <w:jc w:val="left"/>
      </w:pPr>
      <w:r>
        <w:rPr>
          <w:b/>
          <w:color w:val="0066CC"/>
          <w:sz w:val="32"/>
        </w:rPr>
        <w:t>Total Year 1 Financial Impact</w:t>
      </w:r>
    </w:p>
    <w:p/>
    <w:p>
      <w:r>
        <w:rPr>
          <w:b/>
        </w:rPr>
        <w:t xml:space="preserve">Conservative Estimate (50-provider organization): </w:t>
      </w:r>
      <w:r/>
    </w:p>
    <w:p>
      <w:pPr>
        <w:pStyle w:val="ListBullet"/>
        <w:ind w:left="360"/>
      </w:pPr>
      <w:r>
        <w:t xml:space="preserve">Cost Savings: </w:t>
      </w:r>
      <w:r>
        <w:rPr>
          <w:b/>
          <w:color w:val="003366"/>
        </w:rPr>
        <w:t>$490,000 - $840,000</w:t>
      </w:r>
    </w:p>
    <w:p>
      <w:pPr>
        <w:pStyle w:val="ListBullet"/>
        <w:ind w:left="360"/>
      </w:pPr>
      <w:r>
        <w:t xml:space="preserve">Revenue Enhancement: </w:t>
      </w:r>
      <w:r>
        <w:rPr>
          <w:b/>
          <w:color w:val="003366"/>
        </w:rPr>
        <w:t>$700,000 - $1,550,000</w:t>
      </w:r>
    </w:p>
    <w:p>
      <w:pPr>
        <w:pStyle w:val="ListBullet"/>
        <w:ind w:left="360"/>
      </w:pPr>
      <w:r>
        <w:t xml:space="preserve">Platform Investment: </w:t>
      </w:r>
      <w:r>
        <w:rPr>
          <w:b/>
          <w:color w:val="003366"/>
        </w:rPr>
        <w:t>$150,000 - $250,000</w:t>
      </w:r>
    </w:p>
    <w:p>
      <w:pPr>
        <w:pStyle w:val="ListBullet"/>
        <w:ind w:left="360"/>
      </w:pPr>
      <w:r>
        <w:rPr>
          <w:b/>
          <w:color w:val="003366"/>
        </w:rPr>
        <w:t>Net Benefit: $1,040,000 - $2,140,000</w:t>
      </w:r>
    </w:p>
    <w:p>
      <w:pPr>
        <w:pStyle w:val="ListBullet"/>
        <w:ind w:left="360"/>
      </w:pPr>
      <w:r>
        <w:rPr>
          <w:b/>
          <w:color w:val="003366"/>
        </w:rPr>
        <w:t>ROI: 416% - 856%</w:t>
      </w:r>
    </w:p>
    <w:p>
      <w:pPr>
        <w:pStyle w:val="ListBullet"/>
        <w:ind w:left="360"/>
      </w:pPr>
      <w:r>
        <w:rPr>
          <w:b/>
          <w:color w:val="003366"/>
        </w:rPr>
        <w:t>Payback Period: 1.4 - 2.9 months</w:t>
      </w:r>
    </w:p>
    <w:p/>
    <w:p>
      <w:pPr>
        <w:spacing w:before="120" w:after="120"/>
      </w:pPr>
    </w:p>
    <w:p/>
    <w:p>
      <w:pPr>
        <w:pStyle w:val="Heading2"/>
        <w:spacing w:before="240"/>
        <w:jc w:val="left"/>
      </w:pPr>
      <w:r>
        <w:rPr>
          <w:b/>
          <w:color w:val="003366"/>
          <w:sz w:val="40"/>
        </w:rPr>
        <w:t>Competitive Advantages</w:t>
      </w:r>
    </w:p>
    <w:p/>
    <w:p>
      <w:pPr>
        <w:pStyle w:val="Heading3"/>
        <w:jc w:val="left"/>
      </w:pPr>
      <w:r>
        <w:rPr>
          <w:b/>
          <w:color w:val="0066CC"/>
          <w:sz w:val="32"/>
        </w:rPr>
        <w:t>vs. Epic/Cerner (Enterprise EHR)</w:t>
      </w:r>
    </w:p>
    <w:p>
      <w:pPr>
        <w:pStyle w:val="ListBullet"/>
        <w:ind w:left="360"/>
      </w:pPr>
      <w:r>
        <w:t xml:space="preserve">✅ </w:t>
      </w:r>
      <w:r>
        <w:rPr>
          <w:b/>
          <w:color w:val="003366"/>
        </w:rPr>
        <w:t>Lower cost</w:t>
      </w:r>
      <w:r>
        <w:t xml:space="preserve"> - 60-70% less expensive</w:t>
      </w:r>
    </w:p>
    <w:p>
      <w:pPr>
        <w:pStyle w:val="ListBullet"/>
        <w:ind w:left="360"/>
      </w:pPr>
      <w:r>
        <w:t xml:space="preserve">✅ </w:t>
      </w:r>
      <w:r>
        <w:rPr>
          <w:b/>
          <w:color w:val="003366"/>
        </w:rPr>
        <w:t>Faster implementation</w:t>
      </w:r>
      <w:r>
        <w:t xml:space="preserve"> - 8 weeks vs. 12-18 months</w:t>
      </w:r>
    </w:p>
    <w:p>
      <w:pPr>
        <w:pStyle w:val="ListBullet"/>
        <w:ind w:left="360"/>
      </w:pPr>
      <w:r>
        <w:t xml:space="preserve">✅ </w:t>
      </w:r>
      <w:r>
        <w:rPr>
          <w:b/>
          <w:color w:val="003366"/>
        </w:rPr>
        <w:t>Modern user interface</w:t>
      </w:r>
      <w:r>
        <w:t xml:space="preserve"> - Intuitive, minimal training required</w:t>
      </w:r>
    </w:p>
    <w:p>
      <w:pPr>
        <w:pStyle w:val="ListBullet"/>
        <w:ind w:left="360"/>
      </w:pPr>
      <w:r>
        <w:t xml:space="preserve">✅ </w:t>
      </w:r>
      <w:r>
        <w:rPr>
          <w:b/>
          <w:color w:val="003366"/>
        </w:rPr>
        <w:t>Integrated telehealth</w:t>
      </w:r>
      <w:r>
        <w:t xml:space="preserve"> - Built-in, not add-on module</w:t>
      </w:r>
    </w:p>
    <w:p/>
    <w:p>
      <w:pPr>
        <w:pStyle w:val="Heading3"/>
        <w:jc w:val="left"/>
      </w:pPr>
      <w:r>
        <w:rPr>
          <w:b/>
          <w:color w:val="0066CC"/>
          <w:sz w:val="32"/>
        </w:rPr>
        <w:t>vs. athenahealth/eClinicalWorks</w:t>
      </w:r>
    </w:p>
    <w:p>
      <w:pPr>
        <w:pStyle w:val="ListBullet"/>
        <w:ind w:left="360"/>
      </w:pPr>
      <w:r>
        <w:t xml:space="preserve">✅ </w:t>
      </w:r>
      <w:r>
        <w:rPr>
          <w:b/>
          <w:color w:val="003366"/>
        </w:rPr>
        <w:t>True unified platform</w:t>
      </w:r>
      <w:r>
        <w:t xml:space="preserve"> - No separate modules to integrate</w:t>
      </w:r>
    </w:p>
    <w:p>
      <w:pPr>
        <w:pStyle w:val="ListBullet"/>
        <w:ind w:left="360"/>
      </w:pPr>
      <w:r>
        <w:t xml:space="preserve">✅ </w:t>
      </w:r>
      <w:r>
        <w:rPr>
          <w:b/>
          <w:color w:val="003366"/>
        </w:rPr>
        <w:t>Better patient portal</w:t>
      </w:r>
      <w:r>
        <w:t xml:space="preserve"> - Modern, mobile-first design</w:t>
      </w:r>
    </w:p>
    <w:p>
      <w:pPr>
        <w:pStyle w:val="ListBullet"/>
        <w:ind w:left="360"/>
      </w:pPr>
      <w:r>
        <w:t xml:space="preserve">✅ </w:t>
      </w:r>
      <w:r>
        <w:rPr>
          <w:b/>
          <w:color w:val="003366"/>
        </w:rPr>
        <w:t>Flexible subscription plans</w:t>
      </w:r>
      <w:r>
        <w:t xml:space="preserve"> - Scale as you grow</w:t>
      </w:r>
    </w:p>
    <w:p>
      <w:pPr>
        <w:pStyle w:val="ListBullet"/>
        <w:ind w:left="360"/>
      </w:pPr>
      <w:r>
        <w:t xml:space="preserve">✅ </w:t>
      </w:r>
      <w:r>
        <w:rPr>
          <w:b/>
          <w:color w:val="003366"/>
        </w:rPr>
        <w:t>FHIR R4 native</w:t>
      </w:r>
      <w:r>
        <w:t xml:space="preserve"> - Future-proof interoperability</w:t>
      </w:r>
    </w:p>
    <w:p/>
    <w:p>
      <w:pPr>
        <w:pStyle w:val="Heading3"/>
        <w:jc w:val="left"/>
      </w:pPr>
      <w:r>
        <w:rPr>
          <w:b/>
          <w:color w:val="0066CC"/>
          <w:sz w:val="32"/>
        </w:rPr>
        <w:t>vs. Point Solutions (Zocdoc, Doxy.me, Kareo)</w:t>
      </w:r>
    </w:p>
    <w:p>
      <w:pPr>
        <w:pStyle w:val="ListBullet"/>
        <w:ind w:left="360"/>
      </w:pPr>
      <w:r>
        <w:t xml:space="preserve">✅ </w:t>
      </w:r>
      <w:r>
        <w:rPr>
          <w:b/>
          <w:color w:val="003366"/>
        </w:rPr>
        <w:t>All-in-one solution</w:t>
      </w:r>
      <w:r>
        <w:t xml:space="preserve"> - No integration headaches</w:t>
      </w:r>
    </w:p>
    <w:p>
      <w:pPr>
        <w:pStyle w:val="ListBullet"/>
        <w:ind w:left="360"/>
      </w:pPr>
      <w:r>
        <w:t xml:space="preserve">✅ </w:t>
      </w:r>
      <w:r>
        <w:rPr>
          <w:b/>
          <w:color w:val="003366"/>
        </w:rPr>
        <w:t>Single vendor relationship</w:t>
      </w:r>
      <w:r>
        <w:t xml:space="preserve"> - One point of contact</w:t>
      </w:r>
    </w:p>
    <w:p>
      <w:pPr>
        <w:pStyle w:val="ListBullet"/>
        <w:ind w:left="360"/>
      </w:pPr>
      <w:r>
        <w:t xml:space="preserve">✅ </w:t>
      </w:r>
      <w:r>
        <w:rPr>
          <w:b/>
          <w:color w:val="003366"/>
        </w:rPr>
        <w:t>Unified data model</w:t>
      </w:r>
      <w:r>
        <w:t xml:space="preserve"> - Complete patient view</w:t>
      </w:r>
    </w:p>
    <w:p>
      <w:pPr>
        <w:pStyle w:val="ListBullet"/>
        <w:ind w:left="360"/>
      </w:pPr>
      <w:r>
        <w:t xml:space="preserve">✅ </w:t>
      </w:r>
      <w:r>
        <w:rPr>
          <w:b/>
          <w:color w:val="003366"/>
        </w:rPr>
        <w:t>Lower total cost</w:t>
      </w:r>
      <w:r>
        <w:t xml:space="preserve"> - No integration fees</w:t>
      </w:r>
    </w:p>
    <w:p/>
    <w:p>
      <w:pPr>
        <w:spacing w:before="120" w:after="120"/>
      </w:pPr>
    </w:p>
    <w:p/>
    <w:p>
      <w:pPr>
        <w:pStyle w:val="Heading2"/>
        <w:spacing w:before="240"/>
        <w:jc w:val="left"/>
      </w:pPr>
      <w:r>
        <w:rPr>
          <w:b/>
          <w:color w:val="003366"/>
          <w:sz w:val="40"/>
        </w:rPr>
        <w:t>Strategic Fit for Hospital Chains</w:t>
      </w:r>
    </w:p>
    <w:p/>
    <w:p>
      <w:r>
        <w:rPr>
          <w:b/>
        </w:rPr>
        <w:t xml:space="preserve">Multi-Facility Management: </w:t>
      </w:r>
      <w:r/>
    </w:p>
    <w:p>
      <w:pPr>
        <w:pStyle w:val="ListBullet"/>
        <w:ind w:left="360"/>
      </w:pPr>
      <w:r>
        <w:t>Centralized user and provider management across all locations</w:t>
      </w:r>
    </w:p>
    <w:p>
      <w:pPr>
        <w:pStyle w:val="ListBullet"/>
        <w:ind w:left="360"/>
      </w:pPr>
      <w:r>
        <w:t>Consolidated financial reporting and analytics</w:t>
      </w:r>
    </w:p>
    <w:p>
      <w:pPr>
        <w:pStyle w:val="ListBullet"/>
        <w:ind w:left="360"/>
      </w:pPr>
      <w:r>
        <w:t>Standardized workflows with facility-specific customization</w:t>
      </w:r>
    </w:p>
    <w:p>
      <w:pPr>
        <w:pStyle w:val="ListBullet"/>
        <w:ind w:left="360"/>
      </w:pPr>
      <w:r>
        <w:t>Cross-location patient scheduling and referrals</w:t>
      </w:r>
    </w:p>
    <w:p>
      <w:pPr>
        <w:pStyle w:val="ListBullet"/>
        <w:ind w:left="360"/>
      </w:pPr>
      <w:r>
        <w:t>Enterprise-wide compliance and audit capabilities</w:t>
      </w:r>
    </w:p>
    <w:p/>
    <w:p>
      <w:r>
        <w:rPr>
          <w:b/>
        </w:rPr>
        <w:t xml:space="preserve">Growth Support: </w:t>
      </w:r>
      <w:r/>
    </w:p>
    <w:p>
      <w:pPr>
        <w:pStyle w:val="ListBullet"/>
        <w:ind w:left="360"/>
      </w:pPr>
      <w:r>
        <w:t>Add new facilities without platform limitations</w:t>
      </w:r>
    </w:p>
    <w:p>
      <w:pPr>
        <w:pStyle w:val="ListBullet"/>
        <w:ind w:left="360"/>
      </w:pPr>
      <w:r>
        <w:t>Replicate successful workflows to new locations</w:t>
      </w:r>
    </w:p>
    <w:p>
      <w:pPr>
        <w:pStyle w:val="ListBullet"/>
        <w:ind w:left="360"/>
      </w:pPr>
      <w:r>
        <w:t>Centralized training and best practice sharing</w:t>
      </w:r>
    </w:p>
    <w:p>
      <w:pPr>
        <w:pStyle w:val="ListBullet"/>
        <w:ind w:left="360"/>
      </w:pPr>
      <w:r>
        <w:t>Economies of scale with enterprise pricing</w:t>
      </w:r>
    </w:p>
    <w:p/>
    <w:p>
      <w:r>
        <w:rPr>
          <w:b/>
        </w:rPr>
        <w:t xml:space="preserve">Integration with Existing Systems: </w:t>
      </w:r>
      <w:r/>
    </w:p>
    <w:p>
      <w:pPr>
        <w:pStyle w:val="ListBullet"/>
        <w:ind w:left="360"/>
      </w:pPr>
      <w:r>
        <w:t>FHIR-based integration with hospital inpatient systems</w:t>
      </w:r>
    </w:p>
    <w:p>
      <w:pPr>
        <w:pStyle w:val="ListBullet"/>
        <w:ind w:left="360"/>
      </w:pPr>
      <w:r>
        <w:t>HL7 feeds for lab and pharmacy systems</w:t>
      </w:r>
    </w:p>
    <w:p>
      <w:pPr>
        <w:pStyle w:val="ListBullet"/>
        <w:ind w:left="360"/>
      </w:pPr>
      <w:r>
        <w:t>API-based integration with legacy systems</w:t>
      </w:r>
    </w:p>
    <w:p>
      <w:pPr>
        <w:pStyle w:val="ListBullet"/>
        <w:ind w:left="360"/>
      </w:pPr>
      <w:r>
        <w:t>Gradual migration path from existing EHR</w:t>
      </w:r>
    </w:p>
    <w:p/>
    <w:p>
      <w:pPr>
        <w:spacing w:before="120" w:after="120"/>
      </w:pPr>
    </w:p>
    <w:p/>
    <w:p>
      <w:pPr>
        <w:pStyle w:val="Heading2"/>
        <w:spacing w:before="240"/>
        <w:jc w:val="left"/>
      </w:pPr>
      <w:r>
        <w:rPr>
          <w:b/>
          <w:color w:val="003366"/>
          <w:sz w:val="40"/>
        </w:rPr>
        <w:t>Risk Mitigation</w:t>
      </w:r>
    </w:p>
    <w:p/>
    <w:p>
      <w:r>
        <w:rPr>
          <w:b/>
        </w:rPr>
        <w:t xml:space="preserve">Data Security: </w:t>
      </w:r>
      <w:r/>
    </w:p>
    <w:p>
      <w:pPr>
        <w:pStyle w:val="ListBullet"/>
        <w:ind w:left="360"/>
      </w:pPr>
      <w:r>
        <w:t>Bank-level encryption (AES-256)</w:t>
      </w:r>
    </w:p>
    <w:p>
      <w:pPr>
        <w:pStyle w:val="ListBullet"/>
        <w:ind w:left="360"/>
      </w:pPr>
      <w:r>
        <w:t>Regular security audits and penetration testing</w:t>
      </w:r>
    </w:p>
    <w:p>
      <w:pPr>
        <w:pStyle w:val="ListBullet"/>
        <w:ind w:left="360"/>
      </w:pPr>
      <w:r>
        <w:t>SOC 2 Type II certification (in progress)</w:t>
      </w:r>
    </w:p>
    <w:p>
      <w:pPr>
        <w:pStyle w:val="ListBullet"/>
        <w:ind w:left="360"/>
      </w:pPr>
      <w:r>
        <w:t>HIPAA compliance with BAA</w:t>
      </w:r>
    </w:p>
    <w:p>
      <w:pPr>
        <w:pStyle w:val="ListBullet"/>
        <w:ind w:left="360"/>
      </w:pPr>
      <w:r>
        <w:t>24/7 security monitoring</w:t>
      </w:r>
    </w:p>
    <w:p/>
    <w:p>
      <w:r>
        <w:rPr>
          <w:b/>
        </w:rPr>
        <w:t xml:space="preserve">Business Continuity: </w:t>
      </w:r>
      <w:r/>
    </w:p>
    <w:p>
      <w:pPr>
        <w:pStyle w:val="ListBullet"/>
        <w:ind w:left="360"/>
      </w:pPr>
      <w:r>
        <w:t>99.9% uptime SLA with financial penalties</w:t>
      </w:r>
    </w:p>
    <w:p>
      <w:pPr>
        <w:pStyle w:val="ListBullet"/>
        <w:ind w:left="360"/>
      </w:pPr>
      <w:r>
        <w:t>Automatic failover and disaster recovery</w:t>
      </w:r>
    </w:p>
    <w:p>
      <w:pPr>
        <w:pStyle w:val="ListBullet"/>
        <w:ind w:left="360"/>
      </w:pPr>
      <w:r>
        <w:t>Daily backups with point-in-time recovery</w:t>
      </w:r>
    </w:p>
    <w:p>
      <w:pPr>
        <w:pStyle w:val="ListBullet"/>
        <w:ind w:left="360"/>
      </w:pPr>
      <w:r>
        <w:t>Geographically distributed data centers</w:t>
      </w:r>
    </w:p>
    <w:p>
      <w:pPr>
        <w:pStyle w:val="ListBullet"/>
        <w:ind w:left="360"/>
      </w:pPr>
      <w:r>
        <w:t>Business continuity insurance</w:t>
      </w:r>
    </w:p>
    <w:p/>
    <w:p>
      <w:r>
        <w:rPr>
          <w:b/>
        </w:rPr>
        <w:t xml:space="preserve">Vendor Stability: </w:t>
      </w:r>
      <w:r/>
    </w:p>
    <w:p>
      <w:pPr>
        <w:pStyle w:val="ListBullet"/>
        <w:ind w:left="360"/>
      </w:pPr>
      <w:r>
        <w:t>Established development roadmap</w:t>
      </w:r>
    </w:p>
    <w:p>
      <w:pPr>
        <w:pStyle w:val="ListBullet"/>
        <w:ind w:left="360"/>
      </w:pPr>
      <w:r>
        <w:t>Regular feature updates and enhancements</w:t>
      </w:r>
    </w:p>
    <w:p>
      <w:pPr>
        <w:pStyle w:val="ListBullet"/>
        <w:ind w:left="360"/>
      </w:pPr>
      <w:r>
        <w:t>Active user community</w:t>
      </w:r>
    </w:p>
    <w:p>
      <w:pPr>
        <w:pStyle w:val="ListBullet"/>
        <w:ind w:left="360"/>
      </w:pPr>
      <w:r>
        <w:t>Long-term support commitments</w:t>
      </w:r>
    </w:p>
    <w:p>
      <w:pPr>
        <w:pStyle w:val="ListBullet"/>
        <w:ind w:left="360"/>
      </w:pPr>
      <w:r>
        <w:t>Data export capabilities (no vendor lock-in)</w:t>
      </w:r>
    </w:p>
    <w:p/>
    <w:p>
      <w:pPr>
        <w:spacing w:before="120" w:after="120"/>
      </w:pPr>
    </w:p>
    <w:p/>
    <w:p>
      <w:pPr>
        <w:pStyle w:val="Heading2"/>
        <w:spacing w:before="240"/>
        <w:jc w:val="left"/>
      </w:pPr>
      <w:r>
        <w:rPr>
          <w:b/>
          <w:color w:val="003366"/>
          <w:sz w:val="40"/>
        </w:rPr>
        <w:t>Key Performance Indicators (KPIs)</w:t>
      </w:r>
    </w:p>
    <w:p/>
    <w:p>
      <w:r>
        <w:rPr>
          <w:b/>
        </w:rPr>
        <w:t xml:space="preserve">MedFlow provides real-time dashboards for critical metrics: </w:t>
      </w:r>
      <w:r/>
    </w:p>
    <w:p/>
    <w:p>
      <w:r>
        <w:rPr>
          <w:b/>
        </w:rPr>
        <w:t xml:space="preserve">Financial KPIs: </w:t>
      </w:r>
      <w:r/>
    </w:p>
    <w:p>
      <w:pPr>
        <w:pStyle w:val="ListBullet"/>
        <w:ind w:left="360"/>
      </w:pPr>
      <w:r>
        <w:t>Monthly revenue and trend analysis</w:t>
      </w:r>
    </w:p>
    <w:p>
      <w:pPr>
        <w:pStyle w:val="ListBullet"/>
        <w:ind w:left="360"/>
      </w:pPr>
      <w:r>
        <w:t>Days in accounts receivable (A/R)</w:t>
      </w:r>
    </w:p>
    <w:p>
      <w:pPr>
        <w:pStyle w:val="ListBullet"/>
        <w:ind w:left="360"/>
      </w:pPr>
      <w:r>
        <w:t>Claim denial rate and reasons</w:t>
      </w:r>
    </w:p>
    <w:p>
      <w:pPr>
        <w:pStyle w:val="ListBullet"/>
        <w:ind w:left="360"/>
      </w:pPr>
      <w:r>
        <w:t>Collection rate by payer</w:t>
      </w:r>
    </w:p>
    <w:p>
      <w:pPr>
        <w:pStyle w:val="ListBullet"/>
        <w:ind w:left="360"/>
      </w:pPr>
      <w:r>
        <w:t>Revenue per patient/per provider</w:t>
      </w:r>
    </w:p>
    <w:p/>
    <w:p>
      <w:r>
        <w:rPr>
          <w:b/>
        </w:rPr>
        <w:t xml:space="preserve">Operational KPIs: </w:t>
      </w:r>
      <w:r/>
    </w:p>
    <w:p>
      <w:pPr>
        <w:pStyle w:val="ListBullet"/>
        <w:ind w:left="360"/>
      </w:pPr>
      <w:r>
        <w:t>Patient satisfaction scores (HCAHPS)</w:t>
      </w:r>
    </w:p>
    <w:p>
      <w:pPr>
        <w:pStyle w:val="ListBullet"/>
        <w:ind w:left="360"/>
      </w:pPr>
      <w:r>
        <w:t>Appointment no-show rate</w:t>
      </w:r>
    </w:p>
    <w:p>
      <w:pPr>
        <w:pStyle w:val="ListBullet"/>
        <w:ind w:left="360"/>
      </w:pPr>
      <w:r>
        <w:t>Provider utilization rate</w:t>
      </w:r>
    </w:p>
    <w:p>
      <w:pPr>
        <w:pStyle w:val="ListBullet"/>
        <w:ind w:left="360"/>
      </w:pPr>
      <w:r>
        <w:t>Average wait time</w:t>
      </w:r>
    </w:p>
    <w:p>
      <w:pPr>
        <w:pStyle w:val="ListBullet"/>
        <w:ind w:left="360"/>
      </w:pPr>
      <w:r>
        <w:t>Patient portal adoption rate</w:t>
      </w:r>
    </w:p>
    <w:p/>
    <w:p>
      <w:r>
        <w:rPr>
          <w:b/>
        </w:rPr>
        <w:t xml:space="preserve">Clinical KPIs: </w:t>
      </w:r>
      <w:r/>
    </w:p>
    <w:p>
      <w:pPr>
        <w:pStyle w:val="ListBullet"/>
        <w:ind w:left="360"/>
      </w:pPr>
      <w:r>
        <w:t>Patient outcomes tracking</w:t>
      </w:r>
    </w:p>
    <w:p>
      <w:pPr>
        <w:pStyle w:val="ListBullet"/>
        <w:ind w:left="360"/>
      </w:pPr>
      <w:r>
        <w:t>Quality measure compliance (HEDIS, MIPS)</w:t>
      </w:r>
    </w:p>
    <w:p>
      <w:pPr>
        <w:pStyle w:val="ListBullet"/>
        <w:ind w:left="360"/>
      </w:pPr>
      <w:r>
        <w:t>Prescription accuracy rate</w:t>
      </w:r>
    </w:p>
    <w:p>
      <w:pPr>
        <w:pStyle w:val="ListBullet"/>
        <w:ind w:left="360"/>
      </w:pPr>
      <w:r>
        <w:t>Telehealth adoption and utilization</w:t>
      </w:r>
    </w:p>
    <w:p>
      <w:pPr>
        <w:pStyle w:val="ListBullet"/>
        <w:ind w:left="360"/>
      </w:pPr>
      <w:r>
        <w:t>Preventive care completion rates</w:t>
      </w:r>
    </w:p>
    <w:p/>
    <w:p>
      <w:pPr>
        <w:spacing w:before="120" w:after="120"/>
      </w:pPr>
    </w:p>
    <w:p/>
    <w:p>
      <w:pPr>
        <w:pStyle w:val="Heading2"/>
        <w:spacing w:before="240"/>
        <w:jc w:val="left"/>
      </w:pPr>
      <w:r>
        <w:rPr>
          <w:b/>
          <w:color w:val="003366"/>
          <w:sz w:val="40"/>
        </w:rPr>
        <w:t>Next Steps &amp; Recommendations</w:t>
      </w:r>
    </w:p>
    <w:p/>
    <w:p>
      <w:pPr>
        <w:pStyle w:val="Heading3"/>
        <w:jc w:val="left"/>
      </w:pPr>
      <w:r>
        <w:rPr>
          <w:b/>
          <w:color w:val="0066CC"/>
          <w:sz w:val="32"/>
        </w:rPr>
        <w:t>Immediate Actions (Next 30 Days)</w:t>
      </w:r>
    </w:p>
    <w:p/>
    <w:p>
      <w:pPr>
        <w:pStyle w:val="ListNumber"/>
        <w:ind w:left="360"/>
      </w:pPr>
      <w:r>
        <w:rPr>
          <w:b/>
          <w:color w:val="003366"/>
        </w:rPr>
        <w:t>Executive Demonstration</w:t>
      </w:r>
    </w:p>
    <w:p>
      <w:pPr>
        <w:pStyle w:val="ListBullet"/>
        <w:ind w:left="720"/>
      </w:pPr>
      <w:r>
        <w:t>Schedule 90-minute platform demo for leadership team</w:t>
      </w:r>
    </w:p>
    <w:p>
      <w:pPr>
        <w:pStyle w:val="ListBullet"/>
        <w:ind w:left="720"/>
      </w:pPr>
      <w:r>
        <w:t>Review specific workflows for your organization</w:t>
      </w:r>
    </w:p>
    <w:p>
      <w:pPr>
        <w:pStyle w:val="ListBullet"/>
        <w:ind w:left="720"/>
      </w:pPr>
      <w:r>
        <w:t>Discuss customization requirements</w:t>
      </w:r>
    </w:p>
    <w:p/>
    <w:p>
      <w:pPr>
        <w:pStyle w:val="ListNumber"/>
        <w:ind w:left="360"/>
      </w:pPr>
      <w:r>
        <w:rPr>
          <w:b/>
          <w:color w:val="003366"/>
        </w:rPr>
        <w:t>Pilot Program</w:t>
      </w:r>
    </w:p>
    <w:p>
      <w:pPr>
        <w:pStyle w:val="ListBullet"/>
        <w:ind w:left="720"/>
      </w:pPr>
      <w:r>
        <w:t>Select 1-2 departments/facilities for 90-day pilot</w:t>
      </w:r>
    </w:p>
    <w:p>
      <w:pPr>
        <w:pStyle w:val="ListBullet"/>
        <w:ind w:left="720"/>
      </w:pPr>
      <w:r>
        <w:t>Measure baseline KPIs for comparison</w:t>
      </w:r>
    </w:p>
    <w:p>
      <w:pPr>
        <w:pStyle w:val="ListBullet"/>
        <w:ind w:left="720"/>
      </w:pPr>
      <w:r>
        <w:t>Involve key stakeholders in evaluation</w:t>
      </w:r>
    </w:p>
    <w:p/>
    <w:p>
      <w:pPr>
        <w:pStyle w:val="ListNumber"/>
        <w:ind w:left="360"/>
      </w:pPr>
      <w:r>
        <w:rPr>
          <w:b/>
          <w:color w:val="003366"/>
        </w:rPr>
        <w:t>Financial Analysis</w:t>
      </w:r>
    </w:p>
    <w:p>
      <w:pPr>
        <w:pStyle w:val="ListBullet"/>
        <w:ind w:left="720"/>
      </w:pPr>
      <w:r>
        <w:t>Conduct detailed ROI analysis for your organization</w:t>
      </w:r>
    </w:p>
    <w:p>
      <w:pPr>
        <w:pStyle w:val="ListBullet"/>
        <w:ind w:left="720"/>
      </w:pPr>
      <w:r>
        <w:t>Compare against current platform costs</w:t>
      </w:r>
    </w:p>
    <w:p>
      <w:pPr>
        <w:pStyle w:val="ListBullet"/>
        <w:ind w:left="720"/>
      </w:pPr>
      <w:r>
        <w:t>Model revenue enhancement scenarios</w:t>
      </w:r>
    </w:p>
    <w:p/>
    <w:p>
      <w:pPr>
        <w:pStyle w:val="Heading3"/>
        <w:jc w:val="left"/>
      </w:pPr>
      <w:r>
        <w:rPr>
          <w:b/>
          <w:color w:val="0066CC"/>
          <w:sz w:val="32"/>
        </w:rPr>
        <w:t>Medium-Term Planning (30-90 Days)</w:t>
      </w:r>
    </w:p>
    <w:p/>
    <w:p>
      <w:pPr>
        <w:pStyle w:val="ListNumber"/>
        <w:ind w:left="360"/>
      </w:pPr>
      <w:r>
        <w:rPr>
          <w:b/>
          <w:color w:val="003366"/>
        </w:rPr>
        <w:t>Stakeholder Engagement</w:t>
      </w:r>
    </w:p>
    <w:p>
      <w:pPr>
        <w:pStyle w:val="ListBullet"/>
        <w:ind w:left="720"/>
      </w:pPr>
      <w:r>
        <w:t>Present to medical staff leadership</w:t>
      </w:r>
    </w:p>
    <w:p>
      <w:pPr>
        <w:pStyle w:val="ListBullet"/>
        <w:ind w:left="720"/>
      </w:pPr>
      <w:r>
        <w:t>Engage IT and compliance teams</w:t>
      </w:r>
    </w:p>
    <w:p>
      <w:pPr>
        <w:pStyle w:val="ListBullet"/>
        <w:ind w:left="720"/>
      </w:pPr>
      <w:r>
        <w:t>Survey providers on current pain points</w:t>
      </w:r>
    </w:p>
    <w:p/>
    <w:p>
      <w:pPr>
        <w:pStyle w:val="ListNumber"/>
        <w:ind w:left="360"/>
      </w:pPr>
      <w:r>
        <w:rPr>
          <w:b/>
          <w:color w:val="003366"/>
        </w:rPr>
        <w:t>Implementation Planning</w:t>
      </w:r>
    </w:p>
    <w:p>
      <w:pPr>
        <w:pStyle w:val="ListBullet"/>
        <w:ind w:left="720"/>
      </w:pPr>
      <w:r>
        <w:t>Develop phased rollout strategy</w:t>
      </w:r>
    </w:p>
    <w:p>
      <w:pPr>
        <w:pStyle w:val="ListBullet"/>
        <w:ind w:left="720"/>
      </w:pPr>
      <w:r>
        <w:t>Identify data migration requirements</w:t>
      </w:r>
    </w:p>
    <w:p>
      <w:pPr>
        <w:pStyle w:val="ListBullet"/>
        <w:ind w:left="720"/>
      </w:pPr>
      <w:r>
        <w:t>Create change management plan</w:t>
      </w:r>
    </w:p>
    <w:p/>
    <w:p>
      <w:pPr>
        <w:pStyle w:val="ListNumber"/>
        <w:ind w:left="360"/>
      </w:pPr>
      <w:r>
        <w:rPr>
          <w:b/>
          <w:color w:val="003366"/>
        </w:rPr>
        <w:t>Vendor Evaluation</w:t>
      </w:r>
    </w:p>
    <w:p>
      <w:pPr>
        <w:pStyle w:val="ListBullet"/>
        <w:ind w:left="720"/>
      </w:pPr>
      <w:r>
        <w:t>Reference calls with current MedFlow clients</w:t>
      </w:r>
    </w:p>
    <w:p>
      <w:pPr>
        <w:pStyle w:val="ListBullet"/>
        <w:ind w:left="720"/>
      </w:pPr>
      <w:r>
        <w:t>Technical deep-dive with IT team</w:t>
      </w:r>
    </w:p>
    <w:p>
      <w:pPr>
        <w:pStyle w:val="ListBullet"/>
        <w:ind w:left="720"/>
      </w:pPr>
      <w:r>
        <w:t>Contract negotiation and pricing</w:t>
      </w:r>
    </w:p>
    <w:p/>
    <w:p>
      <w:pPr>
        <w:pStyle w:val="Heading3"/>
        <w:jc w:val="left"/>
      </w:pPr>
      <w:r>
        <w:rPr>
          <w:b/>
          <w:color w:val="0066CC"/>
          <w:sz w:val="32"/>
        </w:rPr>
        <w:t>Long-Term Strategy (90+ Days)</w:t>
      </w:r>
    </w:p>
    <w:p/>
    <w:p>
      <w:pPr>
        <w:pStyle w:val="ListNumber"/>
        <w:ind w:left="360"/>
      </w:pPr>
      <w:r>
        <w:rPr>
          <w:b/>
          <w:color w:val="003366"/>
        </w:rPr>
        <w:t>Organization-Wide Deployment</w:t>
      </w:r>
    </w:p>
    <w:p>
      <w:pPr>
        <w:pStyle w:val="ListBullet"/>
        <w:ind w:left="720"/>
      </w:pPr>
      <w:r>
        <w:t>Execute implementation plan</w:t>
      </w:r>
    </w:p>
    <w:p>
      <w:pPr>
        <w:pStyle w:val="ListBullet"/>
        <w:ind w:left="720"/>
      </w:pPr>
      <w:r>
        <w:t>Comprehensive staff training</w:t>
      </w:r>
    </w:p>
    <w:p>
      <w:pPr>
        <w:pStyle w:val="ListBullet"/>
        <w:ind w:left="720"/>
      </w:pPr>
      <w:r>
        <w:t>Go-live support and optimization</w:t>
      </w:r>
    </w:p>
    <w:p/>
    <w:p>
      <w:pPr>
        <w:pStyle w:val="ListNumber"/>
        <w:ind w:left="360"/>
      </w:pPr>
      <w:r>
        <w:rPr>
          <w:b/>
          <w:color w:val="003366"/>
        </w:rPr>
        <w:t>Continuous Improvement</w:t>
      </w:r>
    </w:p>
    <w:p>
      <w:pPr>
        <w:pStyle w:val="ListBullet"/>
        <w:ind w:left="720"/>
      </w:pPr>
      <w:r>
        <w:t>Monitor KPIs and refine workflows</w:t>
      </w:r>
    </w:p>
    <w:p>
      <w:pPr>
        <w:pStyle w:val="ListBullet"/>
        <w:ind w:left="720"/>
      </w:pPr>
      <w:r>
        <w:t>Quarterly business reviews</w:t>
      </w:r>
    </w:p>
    <w:p>
      <w:pPr>
        <w:pStyle w:val="ListBullet"/>
        <w:ind w:left="720"/>
      </w:pPr>
      <w:r>
        <w:t>Feature requests and customization</w:t>
      </w:r>
    </w:p>
    <w:p/>
    <w:p>
      <w:pPr>
        <w:spacing w:before="120" w:after="120"/>
      </w:pPr>
    </w:p>
    <w:p/>
    <w:p>
      <w:pPr>
        <w:pStyle w:val="Heading2"/>
        <w:spacing w:before="240"/>
        <w:jc w:val="left"/>
      </w:pPr>
      <w:r>
        <w:rPr>
          <w:b/>
          <w:color w:val="003366"/>
          <w:sz w:val="40"/>
        </w:rPr>
        <w:t>Conclusion</w:t>
      </w:r>
    </w:p>
    <w:p/>
    <w:p>
      <w:r>
        <w:t>MedFlow represents a strategic investment in the future of your healthcare organization. By consolidating fragmented systems into a unified, modern platform, you will:</w:t>
      </w:r>
    </w:p>
    <w:p/>
    <w:p>
      <w:pPr>
        <w:pStyle w:val="ListBullet"/>
        <w:ind w:left="360"/>
      </w:pPr>
      <w:r>
        <w:t xml:space="preserve">✅ </w:t>
      </w:r>
      <w:r>
        <w:rPr>
          <w:b/>
          <w:color w:val="003366"/>
        </w:rPr>
        <w:t>Improve Financial Performance</w:t>
      </w:r>
      <w:r>
        <w:t xml:space="preserve"> - Increase revenue by 15-20% through better RCM and schedule optimization</w:t>
      </w:r>
    </w:p>
    <w:p>
      <w:pPr>
        <w:pStyle w:val="ListBullet"/>
        <w:ind w:left="360"/>
      </w:pPr>
      <w:r>
        <w:t xml:space="preserve">✅ </w:t>
      </w:r>
      <w:r>
        <w:rPr>
          <w:b/>
          <w:color w:val="003366"/>
        </w:rPr>
        <w:t>Enhance Patient Experience</w:t>
      </w:r>
      <w:r>
        <w:t xml:space="preserve"> - Modern self-service tools and telehealth access</w:t>
      </w:r>
    </w:p>
    <w:p>
      <w:pPr>
        <w:pStyle w:val="ListBullet"/>
        <w:ind w:left="360"/>
      </w:pPr>
      <w:r>
        <w:t xml:space="preserve">✅ </w:t>
      </w:r>
      <w:r>
        <w:rPr>
          <w:b/>
          <w:color w:val="003366"/>
        </w:rPr>
        <w:t>Boost Provider Satisfaction</w:t>
      </w:r>
      <w:r>
        <w:t xml:space="preserve"> - Reduce administrative burden and documentation time</w:t>
      </w:r>
    </w:p>
    <w:p>
      <w:pPr>
        <w:pStyle w:val="ListBullet"/>
        <w:ind w:left="360"/>
      </w:pPr>
      <w:r>
        <w:t xml:space="preserve">✅ </w:t>
      </w:r>
      <w:r>
        <w:rPr>
          <w:b/>
          <w:color w:val="003366"/>
        </w:rPr>
        <w:t>Ensure Regulatory Compliance</w:t>
      </w:r>
      <w:r>
        <w:t xml:space="preserve"> - HIPAA, FHIR, and HL7 standards built-in</w:t>
      </w:r>
    </w:p>
    <w:p>
      <w:pPr>
        <w:pStyle w:val="ListBullet"/>
        <w:ind w:left="360"/>
      </w:pPr>
      <w:r>
        <w:t xml:space="preserve">✅ </w:t>
      </w:r>
      <w:r>
        <w:rPr>
          <w:b/>
          <w:color w:val="003366"/>
        </w:rPr>
        <w:t>Position for Growth</w:t>
      </w:r>
      <w:r>
        <w:t xml:space="preserve"> - Scalable platform supporting expansion</w:t>
      </w:r>
    </w:p>
    <w:p/>
    <w:p>
      <w:r>
        <w:rPr>
          <w:b/>
        </w:rPr>
        <w:t xml:space="preserve">Investment Summary: </w:t>
      </w:r>
      <w:r/>
    </w:p>
    <w:p>
      <w:pPr>
        <w:pStyle w:val="ListBullet"/>
        <w:ind w:left="360"/>
      </w:pPr>
      <w:r>
        <w:rPr>
          <w:b/>
          <w:color w:val="003366"/>
        </w:rPr>
        <w:t>Timeline to Value:</w:t>
      </w:r>
      <w:r>
        <w:t xml:space="preserve"> 60-90 days</w:t>
      </w:r>
    </w:p>
    <w:p>
      <w:pPr>
        <w:pStyle w:val="ListBullet"/>
        <w:ind w:left="360"/>
      </w:pPr>
      <w:r>
        <w:rPr>
          <w:b/>
          <w:color w:val="003366"/>
        </w:rPr>
        <w:t>ROI:</w:t>
      </w:r>
      <w:r>
        <w:t xml:space="preserve"> 400%+ in Year 1</w:t>
      </w:r>
    </w:p>
    <w:p>
      <w:pPr>
        <w:pStyle w:val="ListBullet"/>
        <w:ind w:left="360"/>
      </w:pPr>
      <w:r>
        <w:rPr>
          <w:b/>
          <w:color w:val="003366"/>
        </w:rPr>
        <w:t>Payback Period:</w:t>
      </w:r>
      <w:r>
        <w:t xml:space="preserve"> 1-3 months</w:t>
      </w:r>
    </w:p>
    <w:p>
      <w:pPr>
        <w:pStyle w:val="ListBullet"/>
        <w:ind w:left="360"/>
      </w:pPr>
      <w:r>
        <w:rPr>
          <w:b/>
          <w:color w:val="003366"/>
        </w:rPr>
        <w:t>Risk Level:</w:t>
      </w:r>
      <w:r>
        <w:t xml:space="preserve"> Low (pilot program, phased rollout, proven technology)</w:t>
      </w:r>
    </w:p>
    <w:p/>
    <w:p>
      <w:r>
        <w:rPr>
          <w:b/>
        </w:rPr>
        <w:t xml:space="preserve">Strategic Recommendation: </w:t>
      </w:r>
      <w:r/>
    </w:p>
    <w:p>
      <w:r>
        <w:t>We recommend proceeding with a 90-day pilot program in 1-2 departments to validate the business case and demonstrate value before organization-wide deployment. This de-risks the investment while allowing you to realize immediate benefits in the pilot areas.</w:t>
      </w:r>
    </w:p>
    <w:p/>
    <w:p>
      <w:pPr>
        <w:spacing w:before="120" w:after="120"/>
      </w:pPr>
    </w:p>
    <w:p/>
    <w:p>
      <w:pPr>
        <w:pStyle w:val="Heading2"/>
        <w:spacing w:before="240"/>
        <w:jc w:val="left"/>
      </w:pPr>
      <w:r>
        <w:rPr>
          <w:b/>
          <w:color w:val="003366"/>
          <w:sz w:val="40"/>
        </w:rPr>
        <w:t>Contact Information</w:t>
      </w:r>
    </w:p>
    <w:p/>
    <w:p>
      <w:r>
        <w:rPr>
          <w:b/>
        </w:rPr>
        <w:t xml:space="preserve">For Executive Briefings: </w:t>
      </w:r>
      <w:r/>
    </w:p>
    <w:p>
      <w:r>
        <w:t>Email: executive@medflow.com</w:t>
      </w:r>
    </w:p>
    <w:p>
      <w:r>
        <w:t>Phone: 1-800-MEDFLOW</w:t>
      </w:r>
    </w:p>
    <w:p/>
    <w:p>
      <w:r>
        <w:rPr>
          <w:b/>
        </w:rPr>
        <w:t xml:space="preserve">For Technical Evaluation: </w:t>
      </w:r>
      <w:r/>
    </w:p>
    <w:p>
      <w:r>
        <w:t>Email: solutions@medflow.com</w:t>
      </w:r>
    </w:p>
    <w:p>
      <w:r>
        <w:t>Demo Portal: https://demo.medflow.com</w:t>
      </w:r>
    </w:p>
    <w:p/>
    <w:p>
      <w:r>
        <w:rPr>
          <w:b/>
        </w:rPr>
        <w:t xml:space="preserve">For Procurement: </w:t>
      </w:r>
      <w:r/>
    </w:p>
    <w:p>
      <w:r>
        <w:t>Email: sales@medflow.com</w:t>
      </w:r>
    </w:p>
    <w:p>
      <w:r>
        <w:t>RFP Response: procurement@medflow.com</w:t>
      </w:r>
    </w:p>
    <w:p/>
    <w:p>
      <w:pPr>
        <w:spacing w:before="120" w:after="120"/>
      </w:pPr>
    </w:p>
    <w:p/>
    <w:p>
      <w:r>
        <w:rPr>
          <w:b/>
        </w:rPr>
        <w:t xml:space="preserve">Appendix Available Upon Request: </w:t>
      </w:r>
      <w:r/>
    </w:p>
    <w:p>
      <w:pPr>
        <w:pStyle w:val="ListBullet"/>
        <w:ind w:left="360"/>
      </w:pPr>
      <w:r>
        <w:t>Detailed Feature Comparison Matrix</w:t>
      </w:r>
    </w:p>
    <w:p>
      <w:pPr>
        <w:pStyle w:val="ListBullet"/>
        <w:ind w:left="360"/>
      </w:pPr>
      <w:r>
        <w:t>Client Success Case Studies</w:t>
      </w:r>
    </w:p>
    <w:p>
      <w:pPr>
        <w:pStyle w:val="ListBullet"/>
        <w:ind w:left="360"/>
      </w:pPr>
      <w:r>
        <w:t>Security &amp; Compliance Certifications</w:t>
      </w:r>
    </w:p>
    <w:p>
      <w:pPr>
        <w:pStyle w:val="ListBullet"/>
        <w:ind w:left="360"/>
      </w:pPr>
      <w:r>
        <w:t>Complete Technical Architecture Documentation</w:t>
      </w:r>
    </w:p>
    <w:p>
      <w:pPr>
        <w:pStyle w:val="ListBullet"/>
        <w:ind w:left="360"/>
      </w:pPr>
      <w:r>
        <w:t>Sample Service Level Agreement (SLA)</w:t>
      </w:r>
    </w:p>
    <w:p>
      <w:pPr>
        <w:pStyle w:val="ListBullet"/>
        <w:ind w:left="360"/>
      </w:pPr>
      <w:r>
        <w:t>Professional Services Catalog</w:t>
      </w:r>
    </w:p>
    <w:p>
      <w:pPr>
        <w:pStyle w:val="ListBullet"/>
        <w:ind w:left="360"/>
      </w:pPr>
      <w:r>
        <w:t>Training Curriculum Overview</w:t>
      </w:r>
    </w:p>
    <w:p/>
    <w:p>
      <w:pPr>
        <w:spacing w:before="120" w:after="120"/>
      </w:pPr>
    </w:p>
    <w:p/>
    <w:p>
      <w:r>
        <w:rPr>
          <w:i/>
        </w:rPr>
        <w:t>This executive summary is based on the comprehensive MedFlow User Manual (23 chapters, 200+ pages). For detailed operational procedures, please refer to the complete documentation.</w:t>
      </w:r>
    </w:p>
    <w:p/>
    <w:p>
      <w:r>
        <w:rPr>
          <w:b/>
        </w:rPr>
        <w:t xml:space="preserve">Document Version: </w:t>
      </w:r>
      <w:r>
        <w:t>1.0</w:t>
      </w:r>
    </w:p>
    <w:p>
      <w:r>
        <w:rPr>
          <w:b/>
        </w:rPr>
        <w:t xml:space="preserve">Last Updated: </w:t>
      </w:r>
      <w:r>
        <w:t>December 19, 2025</w:t>
      </w:r>
    </w:p>
    <w:p>
      <w:r>
        <w:rPr>
          <w:b/>
        </w:rPr>
        <w:t xml:space="preserve">Confidential: </w:t>
      </w:r>
      <w:r>
        <w:t>For executive review only</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