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000" w:lineRule="auto"/>
        <w:jc w:val="center"/>
        <w:rPr>
          <w:rFonts w:ascii="Calibri" w:cs="Calibri" w:eastAsia="Calibri" w:hAnsi="Calibri"/>
        </w:rPr>
      </w:pPr>
      <w:r w:rsidDel="00000000" w:rsidR="00000000" w:rsidRPr="00000000">
        <w:rPr>
          <w:rFonts w:ascii="Calibri" w:cs="Calibri" w:eastAsia="Calibri" w:hAnsi="Calibri"/>
          <w:b w:val="1"/>
          <w:bCs w:val="1"/>
          <w:color w:val="0a192f"/>
          <w:sz w:val="48"/>
          <w:szCs w:val="48"/>
          <w:rtl w:val="0"/>
        </w:rPr>
        <w:t xml:space="preserve">LINKEDIN SIGNATURE SERIES</w:t>
      </w: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rPr>
      </w:pPr>
      <w:r w:rsidDel="00000000" w:rsidR="00000000" w:rsidRPr="00000000">
        <w:rPr>
          <w:rFonts w:ascii="Calibri" w:cs="Calibri" w:eastAsia="Calibri" w:hAnsi="Calibri"/>
          <w:color w:val="1e3a5f"/>
          <w:sz w:val="36"/>
          <w:szCs w:val="36"/>
          <w:rtl w:val="0"/>
        </w:rPr>
        <w:t xml:space="preserve">Marketing Campaign</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color w:val="8892b0"/>
          <w:sz w:val="24"/>
          <w:szCs w:val="24"/>
          <w:rtl w:val="0"/>
        </w:rPr>
        <w:t xml:space="preserve">━━━━━━━━━━━━━━━━━━━━━━━━━━━</w:t>
      </w:r>
      <w:r w:rsidDel="00000000" w:rsidR="00000000" w:rsidRPr="00000000">
        <w:rPr>
          <w:rtl w:val="0"/>
        </w:rPr>
      </w:r>
    </w:p>
    <w:p w:rsidR="00000000" w:rsidDel="00000000" w:rsidP="00000000" w:rsidRDefault="00000000" w:rsidRPr="00000000" w14:paraId="00000004">
      <w:pPr>
        <w:spacing w:after="200" w:before="400" w:lineRule="auto"/>
        <w:jc w:val="center"/>
        <w:rPr>
          <w:rFonts w:ascii="Calibri" w:cs="Calibri" w:eastAsia="Calibri" w:hAnsi="Calibri"/>
        </w:rPr>
      </w:pPr>
      <w:r w:rsidDel="00000000" w:rsidR="00000000" w:rsidRPr="00000000">
        <w:rPr>
          <w:rFonts w:ascii="Calibri" w:cs="Calibri" w:eastAsia="Calibri" w:hAnsi="Calibri"/>
          <w:color w:val="8892b0"/>
          <w:sz w:val="24"/>
          <w:szCs w:val="24"/>
          <w:rtl w:val="0"/>
        </w:rPr>
        <w:t xml:space="preserve">Campaign Theme:</w:t>
      </w:r>
      <w:r w:rsidDel="00000000" w:rsidR="00000000" w:rsidRPr="00000000">
        <w:rPr>
          <w:rtl w:val="0"/>
        </w:rPr>
      </w:r>
    </w:p>
    <w:p w:rsidR="00000000" w:rsidDel="00000000" w:rsidP="00000000" w:rsidRDefault="00000000" w:rsidRPr="00000000" w14:paraId="00000005">
      <w:pPr>
        <w:spacing w:after="100" w:lineRule="auto"/>
        <w:jc w:val="center"/>
        <w:rPr>
          <w:rFonts w:ascii="Calibri" w:cs="Calibri" w:eastAsia="Calibri" w:hAnsi="Calibri"/>
        </w:rPr>
      </w:pPr>
      <w:r w:rsidDel="00000000" w:rsidR="00000000" w:rsidRPr="00000000">
        <w:rPr>
          <w:rFonts w:ascii="Calibri" w:cs="Calibri" w:eastAsia="Calibri" w:hAnsi="Calibri"/>
          <w:b w:val="1"/>
          <w:bCs w:val="1"/>
          <w:color w:val="0a192f"/>
          <w:sz w:val="40"/>
          <w:szCs w:val="40"/>
          <w:rtl w:val="0"/>
        </w:rPr>
        <w:t xml:space="preserve">"Innovation with Prudence"</w:t>
      </w:r>
      <w:r w:rsidDel="00000000" w:rsidR="00000000" w:rsidRPr="00000000">
        <w:rPr>
          <w:rtl w:val="0"/>
        </w:rPr>
      </w:r>
    </w:p>
    <w:p w:rsidR="00000000" w:rsidDel="00000000" w:rsidP="00000000" w:rsidRDefault="00000000" w:rsidRPr="00000000" w14:paraId="00000006">
      <w:pPr>
        <w:spacing w:after="600" w:lineRule="auto"/>
        <w:jc w:val="center"/>
        <w:rPr>
          <w:rFonts w:ascii="Calibri" w:cs="Calibri" w:eastAsia="Calibri" w:hAnsi="Calibri"/>
        </w:rPr>
      </w:pPr>
      <w:r w:rsidDel="00000000" w:rsidR="00000000" w:rsidRPr="00000000">
        <w:rPr>
          <w:rFonts w:ascii="Calibri" w:cs="Calibri" w:eastAsia="Calibri" w:hAnsi="Calibri"/>
          <w:color w:val="1e3a5f"/>
          <w:sz w:val="28"/>
          <w:szCs w:val="28"/>
          <w:rtl w:val="0"/>
        </w:rPr>
        <w:t xml:space="preserve">The Idea Factory Blueprint</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color w:val="8892b0"/>
          <w:sz w:val="22"/>
          <w:szCs w:val="22"/>
          <w:rtl w:val="0"/>
        </w:rPr>
        <w:t xml:space="preserve">Prepared for Raj Champaneriya</w:t>
      </w: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Fonts w:ascii="Calibri" w:cs="Calibri" w:eastAsia="Calibri" w:hAnsi="Calibri"/>
          <w:color w:val="8892b0"/>
          <w:sz w:val="22"/>
          <w:szCs w:val="22"/>
          <w:rtl w:val="0"/>
        </w:rPr>
        <w:t xml:space="preserve">Enterprise Architect | IBM</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rFonts w:ascii="Calibri" w:cs="Calibri" w:eastAsia="Calibri" w:hAnsi="Calibri"/>
        </w:rPr>
      </w:pPr>
      <w:r w:rsidDel="00000000" w:rsidR="00000000" w:rsidRPr="00000000">
        <w:rPr>
          <w:rFonts w:ascii="Calibri" w:cs="Calibri" w:eastAsia="Calibri" w:hAnsi="Calibri"/>
          <w:rtl w:val="0"/>
        </w:rPr>
        <w:t xml:space="preserve">Campaign Strategy Overview</w:t>
      </w:r>
    </w:p>
    <w:p w:rsidR="00000000" w:rsidDel="00000000" w:rsidP="00000000" w:rsidRDefault="00000000" w:rsidRPr="00000000" w14:paraId="0000000B">
      <w:pPr>
        <w:pStyle w:val="Heading2"/>
        <w:rPr>
          <w:rFonts w:ascii="Calibri" w:cs="Calibri" w:eastAsia="Calibri" w:hAnsi="Calibri"/>
        </w:rPr>
      </w:pPr>
      <w:r w:rsidDel="00000000" w:rsidR="00000000" w:rsidRPr="00000000">
        <w:rPr>
          <w:rFonts w:ascii="Calibri" w:cs="Calibri" w:eastAsia="Calibri" w:hAnsi="Calibri"/>
          <w:rtl w:val="0"/>
        </w:rPr>
        <w:t xml:space="preserve">The Shift: From Storyteller to Strategic Authority</w:t>
      </w:r>
    </w:p>
    <w:p w:rsidR="00000000" w:rsidDel="00000000" w:rsidP="00000000" w:rsidRDefault="00000000" w:rsidRPr="00000000" w14:paraId="0000000C">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campaign lands the meeting. We leverage "Dark Social" principles—high-value content that gets shared in DMs and boardrooms, not just liked in feeds. The focus is on enabling architects and tech leaders to innovate responsibly without fighting budget battles first.</w:t>
      </w:r>
      <w:r w:rsidDel="00000000" w:rsidR="00000000" w:rsidRPr="00000000">
        <w:rPr>
          <w:rtl w:val="0"/>
        </w:rPr>
      </w:r>
    </w:p>
    <w:p w:rsidR="00000000" w:rsidDel="00000000" w:rsidP="00000000" w:rsidRDefault="00000000" w:rsidRPr="00000000" w14:paraId="0000000D">
      <w:pPr>
        <w:pStyle w:val="Heading2"/>
        <w:rPr>
          <w:rFonts w:ascii="Calibri" w:cs="Calibri" w:eastAsia="Calibri" w:hAnsi="Calibri"/>
        </w:rPr>
      </w:pPr>
      <w:r w:rsidDel="00000000" w:rsidR="00000000" w:rsidRPr="00000000">
        <w:rPr>
          <w:rFonts w:ascii="Calibri" w:cs="Calibri" w:eastAsia="Calibri" w:hAnsi="Calibri"/>
          <w:rtl w:val="0"/>
        </w:rPr>
        <w:t xml:space="preserve">Core Theme: Innovation with Prudence</w:t>
      </w:r>
    </w:p>
    <w:p w:rsidR="00000000" w:rsidDel="00000000" w:rsidP="00000000" w:rsidRDefault="00000000" w:rsidRPr="00000000" w14:paraId="0000000E">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Target Audience: </w:t>
      </w:r>
      <w:r w:rsidDel="00000000" w:rsidR="00000000" w:rsidRPr="00000000">
        <w:rPr>
          <w:rFonts w:ascii="Calibri" w:cs="Calibri" w:eastAsia="Calibri" w:hAnsi="Calibri"/>
          <w:sz w:val="22"/>
          <w:szCs w:val="22"/>
          <w:rtl w:val="0"/>
        </w:rPr>
        <w:t xml:space="preserve">CTOs, VPs of Engineering, Enterprise Architects, Technical Leaders</w:t>
      </w:r>
      <w:r w:rsidDel="00000000" w:rsidR="00000000" w:rsidRPr="00000000">
        <w:rPr>
          <w:rtl w:val="0"/>
        </w:rPr>
      </w:r>
    </w:p>
    <w:p w:rsidR="00000000" w:rsidDel="00000000" w:rsidP="00000000" w:rsidRDefault="00000000" w:rsidRPr="00000000" w14:paraId="0000000F">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Core Value Proposition: </w:t>
      </w:r>
      <w:r w:rsidDel="00000000" w:rsidR="00000000" w:rsidRPr="00000000">
        <w:rPr>
          <w:rFonts w:ascii="Calibri" w:cs="Calibri" w:eastAsia="Calibri" w:hAnsi="Calibri"/>
          <w:sz w:val="22"/>
          <w:szCs w:val="22"/>
          <w:rtl w:val="0"/>
        </w:rPr>
        <w:t xml:space="preserve">Equip tech leaders with blueprints to experiment locally—without requesting budget first. Build an "Idea Factory" that enables responsible innovation at the edge.</w:t>
      </w:r>
      <w:r w:rsidDel="00000000" w:rsidR="00000000" w:rsidRPr="00000000">
        <w:rPr>
          <w:rtl w:val="0"/>
        </w:rPr>
      </w:r>
    </w:p>
    <w:p w:rsidR="00000000" w:rsidDel="00000000" w:rsidP="00000000" w:rsidRDefault="00000000" w:rsidRPr="00000000" w14:paraId="00000010">
      <w:pPr>
        <w:pStyle w:val="Heading2"/>
        <w:rPr>
          <w:rFonts w:ascii="Calibri" w:cs="Calibri" w:eastAsia="Calibri" w:hAnsi="Calibri"/>
        </w:rPr>
      </w:pPr>
      <w:r w:rsidDel="00000000" w:rsidR="00000000" w:rsidRPr="00000000">
        <w:rPr>
          <w:rFonts w:ascii="Calibri" w:cs="Calibri" w:eastAsia="Calibri" w:hAnsi="Calibri"/>
          <w:rtl w:val="0"/>
        </w:rPr>
        <w:t xml:space="preserve">Key Messaging Principles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blame game: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Don't blame cloud migration for cost spikes or frame it as a mistake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Enablement focus: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Give architects blueprints to experiment without budget approval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Prudence: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Innovation with fiscal responsibility and risk awareness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Juval Lowy's Method: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Clear, structured, methodical—make the boring compelling</w:t>
      </w:r>
    </w:p>
    <w:p w:rsidR="00000000" w:rsidDel="00000000" w:rsidP="00000000" w:rsidRDefault="00000000" w:rsidRPr="00000000" w14:paraId="00000015">
      <w:pPr>
        <w:pStyle w:val="Heading2"/>
        <w:rPr>
          <w:rFonts w:ascii="Calibri" w:cs="Calibri" w:eastAsia="Calibri" w:hAnsi="Calibri"/>
        </w:rPr>
      </w:pPr>
      <w:r w:rsidDel="00000000" w:rsidR="00000000" w:rsidRPr="00000000">
        <w:rPr>
          <w:rFonts w:ascii="Calibri" w:cs="Calibri" w:eastAsia="Calibri" w:hAnsi="Calibri"/>
          <w:rtl w:val="0"/>
        </w:rPr>
        <w:t xml:space="preserve">Visual &amp; Brand Identity Guidelines</w:t>
      </w:r>
    </w:p>
    <w:p w:rsidR="00000000" w:rsidDel="00000000" w:rsidP="00000000" w:rsidRDefault="00000000" w:rsidRPr="00000000" w14:paraId="00000016">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CxOs judge competence by visual hygiene. Follow these standards consistently.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233554" w:space="0" w:sz="4" w:val="single"/>
              <w:left w:color="233554" w:space="0" w:sz="4" w:val="single"/>
              <w:bottom w:color="233554" w:space="0" w:sz="4" w:val="single"/>
              <w:right w:color="233554" w:space="0" w:sz="4" w:val="single"/>
            </w:tcBorders>
            <w:shd w:fill="1e3a5f" w:val="clea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b w:val="1"/>
                <w:bCs w:val="1"/>
                <w:color w:val="ffffff"/>
                <w:sz w:val="22"/>
                <w:szCs w:val="22"/>
                <w:rtl w:val="0"/>
              </w:rPr>
              <w:t xml:space="preserve">Element</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shd w:fill="1e3a5f" w:val="clea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b w:val="1"/>
                <w:bCs w:val="1"/>
                <w:color w:val="ffffff"/>
                <w:sz w:val="22"/>
                <w:szCs w:val="22"/>
                <w:rtl w:val="0"/>
              </w:rPr>
              <w:t xml:space="preserve">Specification</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Background</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sz w:val="22"/>
                <w:szCs w:val="22"/>
                <w:rtl w:val="0"/>
              </w:rPr>
              <w:t xml:space="preserve">Deep Midnight Blue (#0A192F) or Charcoal (#121212)</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Primary Accent</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sz w:val="22"/>
                <w:szCs w:val="22"/>
                <w:rtl w:val="0"/>
              </w:rPr>
              <w:t xml:space="preserve">Electric Teal (#64FFDA) for highlights and key metrics</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Secondary Text</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sz w:val="22"/>
                <w:szCs w:val="22"/>
                <w:rtl w:val="0"/>
              </w:rPr>
              <w:t xml:space="preserve">Muted Grey (#8892B0) for body text</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Alert/Warning</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sz w:val="22"/>
                <w:szCs w:val="22"/>
                <w:rtl w:val="0"/>
              </w:rPr>
              <w:t xml:space="preserve">Soft Red (#FF6B6B) only for "Risks" or "Barriers"</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Typography</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sz w:val="22"/>
                <w:szCs w:val="22"/>
                <w:rtl w:val="0"/>
              </w:rPr>
              <w:t xml:space="preserve">Headlines: Inter/Roboto Bold. Body: Open Sans/Lato</w:t>
            </w:r>
            <w:r w:rsidDel="00000000" w:rsidR="00000000" w:rsidRPr="00000000">
              <w:rPr>
                <w:rtl w:val="0"/>
              </w:rPr>
            </w:r>
          </w:p>
        </w:tc>
      </w:tr>
      <w:tr>
        <w:trPr>
          <w:cantSplit w:val="0"/>
          <w:tblHeader w:val="0"/>
        </w:trPr>
        <w:tc>
          <w:tcPr>
            <w:tcBorders>
              <w:top w:color="233554" w:space="0" w:sz="4" w:val="single"/>
              <w:left w:color="233554" w:space="0" w:sz="4" w:val="single"/>
              <w:bottom w:color="233554" w:space="0" w:sz="4" w:val="single"/>
              <w:right w:color="233554" w:space="0" w:sz="4" w:val="single"/>
            </w:tcBorders>
            <w:shd w:fill="020c1b" w:val="clea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color w:val="ffffff"/>
                <w:sz w:val="22"/>
                <w:szCs w:val="22"/>
                <w:rtl w:val="0"/>
              </w:rPr>
              <w:t xml:space="preserve">Visual Style</w:t>
            </w:r>
            <w:r w:rsidDel="00000000" w:rsidR="00000000" w:rsidRPr="00000000">
              <w:rPr>
                <w:rtl w:val="0"/>
              </w:rPr>
            </w:r>
          </w:p>
        </w:tc>
        <w:tc>
          <w:tcPr>
            <w:tcBorders>
              <w:top w:color="233554" w:space="0" w:sz="4" w:val="single"/>
              <w:left w:color="233554" w:space="0" w:sz="4" w:val="single"/>
              <w:bottom w:color="233554" w:space="0" w:sz="4" w:val="single"/>
              <w:right w:color="233554" w:space="0" w:sz="4" w:val="single"/>
            </w:tcBorders>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sz w:val="22"/>
                <w:szCs w:val="22"/>
                <w:rtl w:val="0"/>
              </w:rPr>
              <w:t xml:space="preserve">"The Blueprint" - High contrast, clean lines, no clutter, no stock photos</w:t>
            </w:r>
            <w:r w:rsidDel="00000000" w:rsidR="00000000" w:rsidRPr="00000000">
              <w:rPr>
                <w:rtl w:val="0"/>
              </w:rPr>
            </w:r>
          </w:p>
        </w:tc>
      </w:tr>
    </w:tbl>
    <w:p w:rsidR="00000000" w:rsidDel="00000000" w:rsidP="00000000" w:rsidRDefault="00000000" w:rsidRPr="00000000" w14:paraId="00000025">
      <w:pPr>
        <w:spacing w:after="400" w:before="100" w:lineRule="auto"/>
        <w:jc w:val="center"/>
        <w:rPr>
          <w:rFonts w:ascii="Calibri" w:cs="Calibri" w:eastAsia="Calibri" w:hAnsi="Calibri"/>
        </w:rPr>
      </w:pPr>
      <w:r w:rsidDel="00000000" w:rsidR="00000000" w:rsidRPr="00000000">
        <w:rPr>
          <w:rFonts w:ascii="Calibri" w:cs="Calibri" w:eastAsia="Calibri" w:hAnsi="Calibri"/>
          <w:i w:val="1"/>
          <w:iCs w:val="1"/>
          <w:color w:val="8892b0"/>
          <w:sz w:val="18"/>
          <w:szCs w:val="18"/>
          <w:rtl w:val="0"/>
        </w:rPr>
        <w:t xml:space="preserve">Table 1: Visual Identity Standards</w:t>
      </w:r>
      <w:r w:rsidDel="00000000" w:rsidR="00000000" w:rsidRPr="00000000">
        <w:rPr>
          <w:rtl w:val="0"/>
        </w:rPr>
      </w:r>
    </w:p>
    <w:p w:rsidR="00000000" w:rsidDel="00000000" w:rsidP="00000000" w:rsidRDefault="00000000" w:rsidRPr="00000000" w14:paraId="00000026">
      <w:pPr>
        <w:pStyle w:val="Heading1"/>
        <w:rPr>
          <w:rFonts w:ascii="Calibri" w:cs="Calibri" w:eastAsia="Calibri" w:hAnsi="Calibri"/>
        </w:rPr>
      </w:pPr>
      <w:r w:rsidDel="00000000" w:rsidR="00000000" w:rsidRPr="00000000">
        <w:rPr>
          <w:rFonts w:ascii="Calibri" w:cs="Calibri" w:eastAsia="Calibri" w:hAnsi="Calibri"/>
          <w:rtl w:val="0"/>
        </w:rPr>
        <w:t xml:space="preserve">The 7-Day "Executive Briefing" Campaign</w:t>
      </w:r>
    </w:p>
    <w:p w:rsidR="00000000" w:rsidDel="00000000" w:rsidP="00000000" w:rsidRDefault="00000000" w:rsidRPr="00000000" w14:paraId="00000027">
      <w:pPr>
        <w:pStyle w:val="Heading2"/>
        <w:rPr>
          <w:rFonts w:ascii="Calibri" w:cs="Calibri" w:eastAsia="Calibri" w:hAnsi="Calibri"/>
        </w:rPr>
      </w:pPr>
      <w:r w:rsidDel="00000000" w:rsidR="00000000" w:rsidRPr="00000000">
        <w:rPr>
          <w:rFonts w:ascii="Calibri" w:cs="Calibri" w:eastAsia="Calibri" w:hAnsi="Calibri"/>
          <w:rtl w:val="0"/>
        </w:rPr>
        <w:t xml:space="preserve">Day 1: The Provocation (The Innovation Barrier)</w:t>
      </w:r>
    </w:p>
    <w:p w:rsidR="00000000" w:rsidDel="00000000" w:rsidP="00000000" w:rsidRDefault="00000000" w:rsidRPr="00000000" w14:paraId="00000028">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29">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Surface the real problem: Innovation stalls not because of technology, but because of budget friction. Position the solution as removing barriers, not cutting costs.</w:t>
      </w:r>
      <w:r w:rsidDel="00000000" w:rsidR="00000000" w:rsidRPr="00000000">
        <w:rPr>
          <w:rtl w:val="0"/>
        </w:rPr>
      </w:r>
    </w:p>
    <w:p w:rsidR="00000000" w:rsidDel="00000000" w:rsidP="00000000" w:rsidRDefault="00000000" w:rsidRPr="00000000" w14:paraId="0000002A">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2B">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Text Post + Single Image (Simple flowchart)</w:t>
      </w:r>
      <w:r w:rsidDel="00000000" w:rsidR="00000000" w:rsidRPr="00000000">
        <w:rPr>
          <w:rtl w:val="0"/>
        </w:rPr>
      </w:r>
    </w:p>
    <w:p w:rsidR="00000000" w:rsidDel="00000000" w:rsidP="00000000" w:rsidRDefault="00000000" w:rsidRPr="00000000" w14:paraId="0000002C">
      <w:pPr>
        <w:pStyle w:val="Heading3"/>
        <w:rPr>
          <w:rFonts w:ascii="Calibri" w:cs="Calibri" w:eastAsia="Calibri" w:hAnsi="Calibri"/>
        </w:rPr>
      </w:pPr>
      <w:r w:rsidDel="00000000" w:rsidR="00000000" w:rsidRPr="00000000">
        <w:rPr>
          <w:rFonts w:ascii="Calibri" w:cs="Calibri" w:eastAsia="Calibri" w:hAnsi="Calibri"/>
          <w:rtl w:val="0"/>
        </w:rPr>
        <w:t xml:space="preserve">Visual</w:t>
      </w:r>
    </w:p>
    <w:p w:rsidR="00000000" w:rsidDel="00000000" w:rsidP="00000000" w:rsidRDefault="00000000" w:rsidRPr="00000000" w14:paraId="0000002D">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A clean flowchart showing the "Innovation Death Spiral": Idea → Budget Request → Wait 6 Weeks → Momentum Lost → Project Dies. Contrast with "The Idea Factory Path": Idea → Local Experiment → Proof Point → Scale Decision.</w:t>
      </w:r>
      <w:r w:rsidDel="00000000" w:rsidR="00000000" w:rsidRPr="00000000">
        <w:rPr>
          <w:rtl w:val="0"/>
        </w:rPr>
      </w:r>
    </w:p>
    <w:p w:rsidR="00000000" w:rsidDel="00000000" w:rsidP="00000000" w:rsidRDefault="00000000" w:rsidRPr="00000000" w14:paraId="0000002E">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2F">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Most innovation doesn't fail. It waits.I've watched brilliant architects shelve promising ideas because they couldn't justify the budget for a proof of concept. The approval cycle itself kills momentum.The pattern is predictable:1. Identify opportunity2. Write business case3. Wait for budget approval4. Wait for resource allocation5. Momentum dies6. Move to next fireWe built an alternative path.What if architects could run controlled experiments without requesting budget first? A local sandbox that produces real evidence—not theoretical business cases.Tomorrow, I'll share the blueprint for an "Idea Factory" that enables innovation with prudence.#EnterpriseArchitecture #Innovation #DigitalTransformation #CTO</w:t>
      </w:r>
      <w:r w:rsidDel="00000000" w:rsidR="00000000" w:rsidRPr="00000000">
        <w:rPr>
          <w:rtl w:val="0"/>
        </w:rPr>
      </w:r>
    </w:p>
    <w:p w:rsidR="00000000" w:rsidDel="00000000" w:rsidP="00000000" w:rsidRDefault="00000000" w:rsidRPr="00000000" w14:paraId="00000030">
      <w:pPr>
        <w:pStyle w:val="Heading2"/>
        <w:rPr>
          <w:rFonts w:ascii="Calibri" w:cs="Calibri" w:eastAsia="Calibri" w:hAnsi="Calibri"/>
        </w:rPr>
      </w:pPr>
      <w:r w:rsidDel="00000000" w:rsidR="00000000" w:rsidRPr="00000000">
        <w:rPr>
          <w:rFonts w:ascii="Calibri" w:cs="Calibri" w:eastAsia="Calibri" w:hAnsi="Calibri"/>
          <w:rtl w:val="0"/>
        </w:rPr>
        <w:t xml:space="preserve">Day 2: The Solution (The Idea Factory Blueprint)</w:t>
      </w:r>
    </w:p>
    <w:p w:rsidR="00000000" w:rsidDel="00000000" w:rsidP="00000000" w:rsidRDefault="00000000" w:rsidRPr="00000000" w14:paraId="00000031">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32">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Establish technical credibility. Show the architecture that enables local experimentation with enterprise-grade controls.</w:t>
      </w:r>
      <w:r w:rsidDel="00000000" w:rsidR="00000000" w:rsidRPr="00000000">
        <w:rPr>
          <w:rtl w:val="0"/>
        </w:rPr>
      </w:r>
    </w:p>
    <w:p w:rsidR="00000000" w:rsidDel="00000000" w:rsidP="00000000" w:rsidRDefault="00000000" w:rsidRPr="00000000" w14:paraId="00000033">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34">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PDF Document (Carousel) - 4 Slides</w:t>
      </w:r>
      <w:r w:rsidDel="00000000" w:rsidR="00000000" w:rsidRPr="00000000">
        <w:rPr>
          <w:rtl w:val="0"/>
        </w:rPr>
      </w:r>
    </w:p>
    <w:p w:rsidR="00000000" w:rsidDel="00000000" w:rsidP="00000000" w:rsidRDefault="00000000" w:rsidRPr="00000000" w14:paraId="00000035">
      <w:pPr>
        <w:pStyle w:val="Heading3"/>
        <w:rPr>
          <w:rFonts w:ascii="Calibri" w:cs="Calibri" w:eastAsia="Calibri" w:hAnsi="Calibri"/>
        </w:rPr>
      </w:pPr>
      <w:r w:rsidDel="00000000" w:rsidR="00000000" w:rsidRPr="00000000">
        <w:rPr>
          <w:rFonts w:ascii="Calibri" w:cs="Calibri" w:eastAsia="Calibri" w:hAnsi="Calibri"/>
          <w:rtl w:val="0"/>
        </w:rPr>
        <w:t xml:space="preserve">Visual (Carousel Slides)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Slide 1 (Title):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Idea Factory Architecture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Slide 2 (Diagram):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Architecture showing Local Experiment Environment → Evidence Collection → Governance Gate → Scale Decision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Slide 3 (Controls):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"Prudence Controls" - Resource limits, data boundaries, automatic cleanup</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Slide 4 (Outcome):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"From Idea to Evidence in 48 Hours" timeline</w:t>
      </w:r>
    </w:p>
    <w:p w:rsidR="00000000" w:rsidDel="00000000" w:rsidP="00000000" w:rsidRDefault="00000000" w:rsidRPr="00000000" w14:paraId="0000003A">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3B">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Here is the blueprint for an Idea Factory.The architecture enables architects and tech leads to run controlled experiments locally—without filing budget requests first.The key design principles:• Local-First Processing: Run experiments on existing hardware• Built-in Prudence: Resource limits and automatic cleanup• Evidence Generation: Every experiment produces measurable data• Governance Ready: Results flow to decision frameworksThis isn't shadow IT. It's sanctioned experimentation with guardrails.The outcome: Architects move from "Can I try this?" to "Here's what I learned."Swipe through for the architectural breakdown. 👇#EnterpriseArchitecture #Innovation #ArchitectureBlueprint #DigitalTransformation</w:t>
      </w:r>
      <w:r w:rsidDel="00000000" w:rsidR="00000000" w:rsidRPr="00000000">
        <w:rPr>
          <w:rtl w:val="0"/>
        </w:rPr>
      </w:r>
    </w:p>
    <w:p w:rsidR="00000000" w:rsidDel="00000000" w:rsidP="00000000" w:rsidRDefault="00000000" w:rsidRPr="00000000" w14:paraId="0000003C">
      <w:pPr>
        <w:pStyle w:val="Heading2"/>
        <w:rPr>
          <w:rFonts w:ascii="Calibri" w:cs="Calibri" w:eastAsia="Calibri" w:hAnsi="Calibri"/>
        </w:rPr>
      </w:pPr>
      <w:r w:rsidDel="00000000" w:rsidR="00000000" w:rsidRPr="00000000">
        <w:rPr>
          <w:rFonts w:ascii="Calibri" w:cs="Calibri" w:eastAsia="Calibri" w:hAnsi="Calibri"/>
          <w:rtl w:val="0"/>
        </w:rPr>
        <w:t xml:space="preserve">Day 3: The Demo (Show, Don't Tell)</w:t>
      </w:r>
    </w:p>
    <w:p w:rsidR="00000000" w:rsidDel="00000000" w:rsidP="00000000" w:rsidRDefault="00000000" w:rsidRPr="00000000" w14:paraId="0000003D">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3E">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Prove it works. This is your "Digital Proof of Concept"—showing how an architect can experiment and produce evidence rapidly.</w:t>
      </w:r>
      <w:r w:rsidDel="00000000" w:rsidR="00000000" w:rsidRPr="00000000">
        <w:rPr>
          <w:rtl w:val="0"/>
        </w:rPr>
      </w:r>
    </w:p>
    <w:p w:rsidR="00000000" w:rsidDel="00000000" w:rsidP="00000000" w:rsidRDefault="00000000" w:rsidRPr="00000000" w14:paraId="0000003F">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40">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Native Video (30-45 seconds) or GIF. Silent with text overlays.</w:t>
      </w:r>
      <w:r w:rsidDel="00000000" w:rsidR="00000000" w:rsidRPr="00000000">
        <w:rPr>
          <w:rtl w:val="0"/>
        </w:rPr>
      </w:r>
    </w:p>
    <w:p w:rsidR="00000000" w:rsidDel="00000000" w:rsidP="00000000" w:rsidRDefault="00000000" w:rsidRPr="00000000" w14:paraId="00000041">
      <w:pPr>
        <w:pStyle w:val="Heading3"/>
        <w:rPr>
          <w:rFonts w:ascii="Calibri" w:cs="Calibri" w:eastAsia="Calibri" w:hAnsi="Calibri"/>
        </w:rPr>
      </w:pPr>
      <w:r w:rsidDel="00000000" w:rsidR="00000000" w:rsidRPr="00000000">
        <w:rPr>
          <w:rFonts w:ascii="Calibri" w:cs="Calibri" w:eastAsia="Calibri" w:hAnsi="Calibri"/>
          <w:rtl w:val="0"/>
        </w:rPr>
        <w:t xml:space="preserve">Visual (Video/GIF)</w:t>
      </w:r>
    </w:p>
    <w:p w:rsidR="00000000" w:rsidDel="00000000" w:rsidP="00000000" w:rsidRDefault="00000000" w:rsidRPr="00000000" w14:paraId="00000042">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Screen recording showing: (1) Open Idea Factory Dashboard, (2) Select experiment template, (3) Configure parameters, (4) Run locally, (5) View generated evidence report. Overlay text: "From Idea to Evidence: 2.5 hours. Budget Request: $0."</w:t>
      </w:r>
      <w:r w:rsidDel="00000000" w:rsidR="00000000" w:rsidRPr="00000000">
        <w:rPr>
          <w:rtl w:val="0"/>
        </w:rPr>
      </w:r>
    </w:p>
    <w:p w:rsidR="00000000" w:rsidDel="00000000" w:rsidP="00000000" w:rsidRDefault="00000000" w:rsidRPr="00000000" w14:paraId="00000043">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44">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Talk is cheap. Show me the experiment.Here's a live capture of the Idea Factory in action:1. Select: Choose an experiment template (this one tests AI-assisted document analysis)2. Configure: Set parameters and data boundaries3. Execute: Run locally on standard hardware4. Evidence: Review generated metrics and recommendationsNotice what's missing? The budget approval form.This architect moved from hypothesis to evidence in under 3 hours—using existing resources, within governance guardrails.Now they have data to support a scaling decision. Not a theoretical business case. Real evidence.#Demo #Innovation #EnterpriseArchitecture #Engineering</w:t>
      </w:r>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rPr>
      </w:pPr>
      <w:r w:rsidDel="00000000" w:rsidR="00000000" w:rsidRPr="00000000">
        <w:rPr>
          <w:rFonts w:ascii="Calibri" w:cs="Calibri" w:eastAsia="Calibri" w:hAnsi="Calibri"/>
          <w:rtl w:val="0"/>
        </w:rPr>
        <w:t xml:space="preserve">Day 4: The Method (The "How")</w:t>
      </w:r>
    </w:p>
    <w:p w:rsidR="00000000" w:rsidDel="00000000" w:rsidP="00000000" w:rsidRDefault="00000000" w:rsidRPr="00000000" w14:paraId="00000046">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47">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Hook the Principal Engineers and Lead Architects. Show the technical depth that makes this work. Reference the methodological approach.</w:t>
      </w:r>
      <w:r w:rsidDel="00000000" w:rsidR="00000000" w:rsidRPr="00000000">
        <w:rPr>
          <w:rtl w:val="0"/>
        </w:rPr>
      </w:r>
    </w:p>
    <w:p w:rsidR="00000000" w:rsidDel="00000000" w:rsidP="00000000" w:rsidRDefault="00000000" w:rsidRPr="00000000" w14:paraId="00000048">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49">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Text Post + Architecture Diagram Image</w:t>
      </w:r>
      <w:r w:rsidDel="00000000" w:rsidR="00000000" w:rsidRPr="00000000">
        <w:rPr>
          <w:rtl w:val="0"/>
        </w:rPr>
      </w:r>
    </w:p>
    <w:p w:rsidR="00000000" w:rsidDel="00000000" w:rsidP="00000000" w:rsidRDefault="00000000" w:rsidRPr="00000000" w14:paraId="0000004A">
      <w:pPr>
        <w:pStyle w:val="Heading3"/>
        <w:rPr>
          <w:rFonts w:ascii="Calibri" w:cs="Calibri" w:eastAsia="Calibri" w:hAnsi="Calibri"/>
        </w:rPr>
      </w:pPr>
      <w:r w:rsidDel="00000000" w:rsidR="00000000" w:rsidRPr="00000000">
        <w:rPr>
          <w:rFonts w:ascii="Calibri" w:cs="Calibri" w:eastAsia="Calibri" w:hAnsi="Calibri"/>
          <w:rtl w:val="0"/>
        </w:rPr>
        <w:t xml:space="preserve">Visual</w:t>
      </w:r>
    </w:p>
    <w:p w:rsidR="00000000" w:rsidDel="00000000" w:rsidP="00000000" w:rsidRDefault="00000000" w:rsidRPr="00000000" w14:paraId="0000004B">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Clean architecture diagram showing the layered approach: Experiment Layer → Evidence Layer → Decision Layer. Use Juval Lowy-style annotation: clear component boundaries, defined interfaces, explicit responsibilities.</w:t>
      </w:r>
      <w:r w:rsidDel="00000000" w:rsidR="00000000" w:rsidRPr="00000000">
        <w:rPr>
          <w:rtl w:val="0"/>
        </w:rPr>
      </w:r>
    </w:p>
    <w:p w:rsidR="00000000" w:rsidDel="00000000" w:rsidP="00000000" w:rsidRDefault="00000000" w:rsidRPr="00000000" w14:paraId="0000004C">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4D">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Good architecture should feel invisible to users and obvious to engineers.The Idea Factory follows a methodical layered approach:Layer 1 - Experiment Execution• Isolated runtime environments• Resource quotas and time limits• Automatic cleanup protocolsLayer 2 - Evidence Collection• Structured output formats• Metric aggregation• Comparison baselinesLayer 3 - Decision Support• ADR (Architecture Decision Record) integration• Scaling recommendations• Risk assessmentThe principle: Make experimentation as routine as testing.When architects can run controlled experiments without friction, innovation becomes systematic—not serendipitous.#SoftwareArchitecture #Engineering #Methodology #DotNet</w:t>
      </w:r>
      <w:r w:rsidDel="00000000" w:rsidR="00000000" w:rsidRPr="00000000">
        <w:rPr>
          <w:rtl w:val="0"/>
        </w:rPr>
      </w:r>
    </w:p>
    <w:p w:rsidR="00000000" w:rsidDel="00000000" w:rsidP="00000000" w:rsidRDefault="00000000" w:rsidRPr="00000000" w14:paraId="0000004E">
      <w:pPr>
        <w:pStyle w:val="Heading2"/>
        <w:rPr>
          <w:rFonts w:ascii="Calibri" w:cs="Calibri" w:eastAsia="Calibri" w:hAnsi="Calibri"/>
        </w:rPr>
      </w:pPr>
      <w:r w:rsidDel="00000000" w:rsidR="00000000" w:rsidRPr="00000000">
        <w:rPr>
          <w:rFonts w:ascii="Calibri" w:cs="Calibri" w:eastAsia="Calibri" w:hAnsi="Calibri"/>
          <w:rtl w:val="0"/>
        </w:rPr>
        <w:t xml:space="preserve">Day 5: The Governance (The "Adult Conversation")</w:t>
      </w:r>
    </w:p>
    <w:p w:rsidR="00000000" w:rsidDel="00000000" w:rsidP="00000000" w:rsidRDefault="00000000" w:rsidRPr="00000000" w14:paraId="0000004F">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50">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Address the #1 concern: How does this work within enterprise governance? Show this isn't shadow IT—it's controlled experimentation.</w:t>
      </w:r>
      <w:r w:rsidDel="00000000" w:rsidR="00000000" w:rsidRPr="00000000">
        <w:rPr>
          <w:rtl w:val="0"/>
        </w:rPr>
      </w:r>
    </w:p>
    <w:p w:rsidR="00000000" w:rsidDel="00000000" w:rsidP="00000000" w:rsidRDefault="00000000" w:rsidRPr="00000000" w14:paraId="00000051">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52">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Text Post with "Governance Framework" visual</w:t>
      </w:r>
      <w:r w:rsidDel="00000000" w:rsidR="00000000" w:rsidRPr="00000000">
        <w:rPr>
          <w:rtl w:val="0"/>
        </w:rPr>
      </w:r>
    </w:p>
    <w:p w:rsidR="00000000" w:rsidDel="00000000" w:rsidP="00000000" w:rsidRDefault="00000000" w:rsidRPr="00000000" w14:paraId="00000053">
      <w:pPr>
        <w:pStyle w:val="Heading3"/>
        <w:rPr>
          <w:rFonts w:ascii="Calibri" w:cs="Calibri" w:eastAsia="Calibri" w:hAnsi="Calibri"/>
        </w:rPr>
      </w:pPr>
      <w:r w:rsidDel="00000000" w:rsidR="00000000" w:rsidRPr="00000000">
        <w:rPr>
          <w:rFonts w:ascii="Calibri" w:cs="Calibri" w:eastAsia="Calibri" w:hAnsi="Calibri"/>
          <w:rtl w:val="0"/>
        </w:rPr>
        <w:t xml:space="preserve">Visual</w:t>
      </w:r>
    </w:p>
    <w:p w:rsidR="00000000" w:rsidDel="00000000" w:rsidP="00000000" w:rsidRDefault="00000000" w:rsidRPr="00000000" w14:paraId="00000054">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A governance framework diagram showing: Pre-approved Experiment Boundaries → Execution Within Guardrails → Evidence Escapes for Scale. Use green checkmarks for compliant paths.</w:t>
      </w:r>
      <w:r w:rsidDel="00000000" w:rsidR="00000000" w:rsidRPr="00000000">
        <w:rPr>
          <w:rtl w:val="0"/>
        </w:rPr>
      </w:r>
    </w:p>
    <w:p w:rsidR="00000000" w:rsidDel="00000000" w:rsidP="00000000" w:rsidRDefault="00000000" w:rsidRPr="00000000" w14:paraId="00000055">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56">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CTOs don't fear innovation. They fear ungoverned experimentation.The Idea Factory isn't about bypassing governance. It's about embedding governance into the experimentation process.How it works:1. Pre-Approved Boundaries• Define what architects can experiment with without case-by-case approval• Set resource limits, data boundaries, and time constraints2. Built-in Guardrails• Automatic shutdown when limits are reached• Data never leaves defined boundaries• Every action is logged3. Evidence Escapes• When experiments produce promising results, evidence flows to governance frameworks• Decision points are documented• Scale requests come with data, not speculationSecurity teams love this because it's auditable. Finance teams love this because it's predictable.Innovation with prudence isn't an oxymoron.#Governance #EnterpriseArchitecture #RiskManagement #CTO</w:t>
      </w:r>
      <w:r w:rsidDel="00000000" w:rsidR="00000000" w:rsidRPr="00000000">
        <w:rPr>
          <w:rtl w:val="0"/>
        </w:rPr>
      </w:r>
    </w:p>
    <w:p w:rsidR="00000000" w:rsidDel="00000000" w:rsidP="00000000" w:rsidRDefault="00000000" w:rsidRPr="00000000" w14:paraId="00000057">
      <w:pPr>
        <w:pStyle w:val="Heading2"/>
        <w:rPr>
          <w:rFonts w:ascii="Calibri" w:cs="Calibri" w:eastAsia="Calibri" w:hAnsi="Calibri"/>
        </w:rPr>
      </w:pPr>
      <w:r w:rsidDel="00000000" w:rsidR="00000000" w:rsidRPr="00000000">
        <w:rPr>
          <w:rFonts w:ascii="Calibri" w:cs="Calibri" w:eastAsia="Calibri" w:hAnsi="Calibri"/>
          <w:rtl w:val="0"/>
        </w:rPr>
        <w:t xml:space="preserve">Day 6: The Strategic Outcome (The "Value")</w:t>
      </w:r>
    </w:p>
    <w:p w:rsidR="00000000" w:rsidDel="00000000" w:rsidP="00000000" w:rsidRDefault="00000000" w:rsidRPr="00000000" w14:paraId="00000058">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59">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Connect to business value. Show how this changes the innovation equation for the enterprise.</w:t>
      </w:r>
      <w:r w:rsidDel="00000000" w:rsidR="00000000" w:rsidRPr="00000000">
        <w:rPr>
          <w:rtl w:val="0"/>
        </w:rPr>
      </w:r>
    </w:p>
    <w:p w:rsidR="00000000" w:rsidDel="00000000" w:rsidP="00000000" w:rsidRDefault="00000000" w:rsidRPr="00000000" w14:paraId="0000005A">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5B">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Text Post</w:t>
      </w:r>
      <w:r w:rsidDel="00000000" w:rsidR="00000000" w:rsidRPr="00000000">
        <w:rPr>
          <w:rtl w:val="0"/>
        </w:rPr>
      </w:r>
    </w:p>
    <w:p w:rsidR="00000000" w:rsidDel="00000000" w:rsidP="00000000" w:rsidRDefault="00000000" w:rsidRPr="00000000" w14:paraId="0000005C">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5D">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The innovation math is broken in most enterprises.Current model:• 6-8 weeks from idea to first experiment• High friction leads to low experimentation volume• Decisions based on opinions, not evidenceThe Idea Factory model:• 48 hours from idea to evidence• Low friction enables high experimentation volume• Decisions based on data from controlled experimentsWe built this prototype in 4 weeks using:• .NET Aspire for the runtime• IBM Carbon for the interface• Standard enterprise hardwareThe Result: Architects in our pilot ran 12 experiments in a month. Previously, they would have run 1-2.Tomorrow, I share the blueprint.#ROI #Innovation #DigitalTransformation #EnterpriseArchitecture</w:t>
      </w: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rPr>
      </w:pPr>
      <w:r w:rsidDel="00000000" w:rsidR="00000000" w:rsidRPr="00000000">
        <w:rPr>
          <w:rFonts w:ascii="Calibri" w:cs="Calibri" w:eastAsia="Calibri" w:hAnsi="Calibri"/>
          <w:rtl w:val="0"/>
        </w:rPr>
        <w:t xml:space="preserve">Day 7: The Call to Action (The "Handshake")</w:t>
      </w:r>
    </w:p>
    <w:p w:rsidR="00000000" w:rsidDel="00000000" w:rsidP="00000000" w:rsidRDefault="00000000" w:rsidRPr="00000000" w14:paraId="0000005F">
      <w:pPr>
        <w:pStyle w:val="Heading3"/>
        <w:rPr>
          <w:rFonts w:ascii="Calibri" w:cs="Calibri" w:eastAsia="Calibri" w:hAnsi="Calibri"/>
        </w:rPr>
      </w:pPr>
      <w:r w:rsidDel="00000000" w:rsidR="00000000" w:rsidRPr="00000000">
        <w:rPr>
          <w:rFonts w:ascii="Calibri" w:cs="Calibri" w:eastAsia="Calibri" w:hAnsi="Calibri"/>
          <w:rtl w:val="0"/>
        </w:rPr>
        <w:t xml:space="preserve">Goal</w:t>
      </w:r>
    </w:p>
    <w:p w:rsidR="00000000" w:rsidDel="00000000" w:rsidP="00000000" w:rsidRDefault="00000000" w:rsidRPr="00000000" w14:paraId="00000060">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Drive traffic to your site and GitHub. Filter for serious leads. Position as an enabler, not a vendor.</w:t>
      </w:r>
      <w:r w:rsidDel="00000000" w:rsidR="00000000" w:rsidRPr="00000000">
        <w:rPr>
          <w:rtl w:val="0"/>
        </w:rPr>
      </w:r>
    </w:p>
    <w:p w:rsidR="00000000" w:rsidDel="00000000" w:rsidP="00000000" w:rsidRDefault="00000000" w:rsidRPr="00000000" w14:paraId="00000061">
      <w:pPr>
        <w:pStyle w:val="Heading3"/>
        <w:rPr>
          <w:rFonts w:ascii="Calibri" w:cs="Calibri" w:eastAsia="Calibri" w:hAnsi="Calibri"/>
        </w:rPr>
      </w:pPr>
      <w:r w:rsidDel="00000000" w:rsidR="00000000" w:rsidRPr="00000000">
        <w:rPr>
          <w:rFonts w:ascii="Calibri" w:cs="Calibri" w:eastAsia="Calibri" w:hAnsi="Calibri"/>
          <w:rtl w:val="0"/>
        </w:rPr>
        <w:t xml:space="preserve">Format</w:t>
      </w:r>
    </w:p>
    <w:p w:rsidR="00000000" w:rsidDel="00000000" w:rsidP="00000000" w:rsidRDefault="00000000" w:rsidRPr="00000000" w14:paraId="00000062">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Text Post + Direct Link</w:t>
      </w:r>
      <w:r w:rsidDel="00000000" w:rsidR="00000000" w:rsidRPr="00000000">
        <w:rPr>
          <w:rtl w:val="0"/>
        </w:rPr>
      </w:r>
    </w:p>
    <w:p w:rsidR="00000000" w:rsidDel="00000000" w:rsidP="00000000" w:rsidRDefault="00000000" w:rsidRPr="00000000" w14:paraId="00000063">
      <w:pPr>
        <w:pStyle w:val="Heading3"/>
        <w:rPr>
          <w:rFonts w:ascii="Calibri" w:cs="Calibri" w:eastAsia="Calibri" w:hAnsi="Calibri"/>
        </w:rPr>
      </w:pPr>
      <w:r w:rsidDel="00000000" w:rsidR="00000000" w:rsidRPr="00000000">
        <w:rPr>
          <w:rFonts w:ascii="Calibri" w:cs="Calibri" w:eastAsia="Calibri" w:hAnsi="Calibri"/>
          <w:rtl w:val="0"/>
        </w:rPr>
        <w:t xml:space="preserve">Visual</w:t>
      </w:r>
    </w:p>
    <w:p w:rsidR="00000000" w:rsidDel="00000000" w:rsidP="00000000" w:rsidRDefault="00000000" w:rsidRPr="00000000" w14:paraId="00000064">
      <w:pP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High-quality mockup of a "Technical Whitepaper" cover with rajc.work branding. Title: "The Idea Factory Blueprint."</w:t>
      </w:r>
      <w:r w:rsidDel="00000000" w:rsidR="00000000" w:rsidRPr="00000000">
        <w:rPr>
          <w:rtl w:val="0"/>
        </w:rPr>
      </w:r>
    </w:p>
    <w:p w:rsidR="00000000" w:rsidDel="00000000" w:rsidP="00000000" w:rsidRDefault="00000000" w:rsidRPr="00000000" w14:paraId="00000065">
      <w:pPr>
        <w:pStyle w:val="Heading3"/>
        <w:rPr>
          <w:rFonts w:ascii="Calibri" w:cs="Calibri" w:eastAsia="Calibri" w:hAnsi="Calibri"/>
        </w:rPr>
      </w:pPr>
      <w:r w:rsidDel="00000000" w:rsidR="00000000" w:rsidRPr="00000000">
        <w:rPr>
          <w:rFonts w:ascii="Calibri" w:cs="Calibri" w:eastAsia="Calibri" w:hAnsi="Calibri"/>
          <w:rtl w:val="0"/>
        </w:rPr>
        <w:t xml:space="preserve">Post Content</w:t>
      </w:r>
    </w:p>
    <w:p w:rsidR="00000000" w:rsidDel="00000000" w:rsidP="00000000" w:rsidRDefault="00000000" w:rsidRPr="00000000" w14:paraId="00000066">
      <w:pPr>
        <w:shd w:fill="f0f4f8" w:val="clear"/>
        <w:spacing w:line="250" w:lineRule="auto"/>
        <w:rPr>
          <w:rFonts w:ascii="Calibri" w:cs="Calibri" w:eastAsia="Calibri" w:hAnsi="Calibri"/>
        </w:rPr>
      </w:pPr>
      <w:r w:rsidDel="00000000" w:rsidR="00000000" w:rsidRPr="00000000">
        <w:rPr>
          <w:rFonts w:ascii="Calibri" w:cs="Calibri" w:eastAsia="Calibri" w:hAnsi="Calibri"/>
          <w:sz w:val="22"/>
          <w:szCs w:val="22"/>
          <w:rtl w:val="0"/>
        </w:rPr>
        <w:t xml:space="preserve">I believe enterprise architecture should be transparent.Over the last 6 days, we discussed:• The innovation barrier caused by budget friction• The Idea Factory architecture for local experimentation• Governance frameworks that enable rather than impede• The business value of systematic innovationI've published the complete blueprint:• Architecture diagrams• Source code (.NET Aspire)• Deployment guide• Governance templatesThis is a starting point. A foundation for your own Idea Factory.Read the methodology: https://rajc.workInspect the code: https://github.com/raj-champion-traderIf you need help adapting this architecture for your enterprise context, let's talk.#OpenSource #EnterpriseArchitecture #Innovation #CTO</w:t>
      </w:r>
      <w:r w:rsidDel="00000000" w:rsidR="00000000" w:rsidRPr="00000000">
        <w:rPr>
          <w:rtl w:val="0"/>
        </w:rPr>
      </w:r>
    </w:p>
    <w:p w:rsidR="00000000" w:rsidDel="00000000" w:rsidP="00000000" w:rsidRDefault="00000000" w:rsidRPr="00000000" w14:paraId="00000067">
      <w:pPr>
        <w:pStyle w:val="Heading1"/>
        <w:rPr>
          <w:rFonts w:ascii="Calibri" w:cs="Calibri" w:eastAsia="Calibri" w:hAnsi="Calibri"/>
        </w:rPr>
      </w:pPr>
      <w:r w:rsidDel="00000000" w:rsidR="00000000" w:rsidRPr="00000000">
        <w:rPr>
          <w:rFonts w:ascii="Calibri" w:cs="Calibri" w:eastAsia="Calibri" w:hAnsi="Calibri"/>
          <w:rtl w:val="0"/>
        </w:rPr>
        <w:t xml:space="preserve">Why This Campaign Works</w:t>
      </w:r>
    </w:p>
    <w:p w:rsidR="00000000" w:rsidDel="00000000" w:rsidP="00000000" w:rsidRDefault="00000000" w:rsidRPr="00000000" w14:paraId="00000068">
      <w:pPr>
        <w:pStyle w:val="Heading2"/>
        <w:rPr>
          <w:rFonts w:ascii="Calibri" w:cs="Calibri" w:eastAsia="Calibri" w:hAnsi="Calibri"/>
        </w:rPr>
      </w:pPr>
      <w:r w:rsidDel="00000000" w:rsidR="00000000" w:rsidRPr="00000000">
        <w:rPr>
          <w:rFonts w:ascii="Calibri" w:cs="Calibri" w:eastAsia="Calibri" w:hAnsi="Calibri"/>
          <w:rtl w:val="0"/>
        </w:rPr>
        <w:t xml:space="preserve">The Psychology of the Sequence</w:t>
      </w:r>
    </w:p>
    <w:p w:rsidR="00000000" w:rsidDel="00000000" w:rsidP="00000000" w:rsidRDefault="00000000" w:rsidRPr="00000000" w14:paraId="00000069">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Days 1-2 (Business Trigger): </w:t>
      </w:r>
      <w:r w:rsidDel="00000000" w:rsidR="00000000" w:rsidRPr="00000000">
        <w:rPr>
          <w:rFonts w:ascii="Calibri" w:cs="Calibri" w:eastAsia="Calibri" w:hAnsi="Calibri"/>
          <w:sz w:val="22"/>
          <w:szCs w:val="22"/>
          <w:rtl w:val="0"/>
        </w:rPr>
        <w:t xml:space="preserve">You capture the CxO's attention by surfacing a problem they feel but haven't articulated—the innovation friction caused by budget processes.</w:t>
      </w:r>
      <w:r w:rsidDel="00000000" w:rsidR="00000000" w:rsidRPr="00000000">
        <w:rPr>
          <w:rtl w:val="0"/>
        </w:rPr>
      </w:r>
    </w:p>
    <w:p w:rsidR="00000000" w:rsidDel="00000000" w:rsidP="00000000" w:rsidRDefault="00000000" w:rsidRPr="00000000" w14:paraId="0000006A">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Days 3-4 (Technical Depth): </w:t>
      </w:r>
      <w:r w:rsidDel="00000000" w:rsidR="00000000" w:rsidRPr="00000000">
        <w:rPr>
          <w:rFonts w:ascii="Calibri" w:cs="Calibri" w:eastAsia="Calibri" w:hAnsi="Calibri"/>
          <w:sz w:val="22"/>
          <w:szCs w:val="22"/>
          <w:rtl w:val="0"/>
        </w:rPr>
        <w:t xml:space="preserve">You capture the Principal Engineer/Architect's attention with the demo and methodology. They are the ones who advise the CxO on technical validity.</w:t>
      </w:r>
      <w:r w:rsidDel="00000000" w:rsidR="00000000" w:rsidRPr="00000000">
        <w:rPr>
          <w:rtl w:val="0"/>
        </w:rPr>
      </w:r>
    </w:p>
    <w:p w:rsidR="00000000" w:rsidDel="00000000" w:rsidP="00000000" w:rsidRDefault="00000000" w:rsidRPr="00000000" w14:paraId="0000006B">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Day 5 (Governance): </w:t>
      </w:r>
      <w:r w:rsidDel="00000000" w:rsidR="00000000" w:rsidRPr="00000000">
        <w:rPr>
          <w:rFonts w:ascii="Calibri" w:cs="Calibri" w:eastAsia="Calibri" w:hAnsi="Calibri"/>
          <w:sz w:val="22"/>
          <w:szCs w:val="22"/>
          <w:rtl w:val="0"/>
        </w:rPr>
        <w:t xml:space="preserve">You give the CISO/Compliance officer a reason to say "Yes" by showing built-in controls, not bypassed controls.</w:t>
      </w:r>
      <w:r w:rsidDel="00000000" w:rsidR="00000000" w:rsidRPr="00000000">
        <w:rPr>
          <w:rtl w:val="0"/>
        </w:rPr>
      </w:r>
    </w:p>
    <w:p w:rsidR="00000000" w:rsidDel="00000000" w:rsidP="00000000" w:rsidRDefault="00000000" w:rsidRPr="00000000" w14:paraId="0000006C">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Day 7 (Action): </w:t>
      </w:r>
      <w:r w:rsidDel="00000000" w:rsidR="00000000" w:rsidRPr="00000000">
        <w:rPr>
          <w:rFonts w:ascii="Calibri" w:cs="Calibri" w:eastAsia="Calibri" w:hAnsi="Calibri"/>
          <w:sz w:val="22"/>
          <w:szCs w:val="22"/>
          <w:rtl w:val="0"/>
        </w:rPr>
        <w:t xml:space="preserve">You offer a "no-risk" way to engage (download the blueprint). The people who click that link are high-intent leads.</w:t>
      </w:r>
      <w:r w:rsidDel="00000000" w:rsidR="00000000" w:rsidRPr="00000000">
        <w:rPr>
          <w:rtl w:val="0"/>
        </w:rPr>
      </w:r>
    </w:p>
    <w:p w:rsidR="00000000" w:rsidDel="00000000" w:rsidP="00000000" w:rsidRDefault="00000000" w:rsidRPr="00000000" w14:paraId="0000006D">
      <w:pPr>
        <w:pStyle w:val="Heading2"/>
        <w:rPr>
          <w:rFonts w:ascii="Calibri" w:cs="Calibri" w:eastAsia="Calibri" w:hAnsi="Calibri"/>
        </w:rPr>
      </w:pPr>
      <w:r w:rsidDel="00000000" w:rsidR="00000000" w:rsidRPr="00000000">
        <w:rPr>
          <w:rFonts w:ascii="Calibri" w:cs="Calibri" w:eastAsia="Calibri" w:hAnsi="Calibri"/>
          <w:rtl w:val="0"/>
        </w:rPr>
        <w:t xml:space="preserve">Key Differentiators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blame, no shame: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campaign doesn't criticize cloud strategies—it offers an additional capability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Enablement focus: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Positions you as someone who empowers architects, not someone selling services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integration: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Shows you understand enterprise constraints—not just technical solutions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Evidence-based: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Every claim is supported by methodology and artifacts</w:t>
      </w:r>
    </w:p>
    <w:p w:rsidR="00000000" w:rsidDel="00000000" w:rsidP="00000000" w:rsidRDefault="00000000" w:rsidRPr="00000000" w14:paraId="00000072">
      <w:pPr>
        <w:pStyle w:val="Heading2"/>
        <w:rPr>
          <w:rFonts w:ascii="Calibri" w:cs="Calibri" w:eastAsia="Calibri" w:hAnsi="Calibri"/>
        </w:rPr>
      </w:pPr>
      <w:r w:rsidDel="00000000" w:rsidR="00000000" w:rsidRPr="00000000">
        <w:rPr>
          <w:rFonts w:ascii="Calibri" w:cs="Calibri" w:eastAsia="Calibri" w:hAnsi="Calibri"/>
          <w:rtl w:val="0"/>
        </w:rPr>
        <w:t xml:space="preserve">Demo Best Practices</w:t>
      </w:r>
    </w:p>
    <w:p w:rsidR="00000000" w:rsidDel="00000000" w:rsidP="00000000" w:rsidRDefault="00000000" w:rsidRPr="00000000" w14:paraId="00000073">
      <w:pPr>
        <w:spacing w:line="25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Do not make a 5-minute YouTube video. </w:t>
      </w:r>
      <w:r w:rsidDel="00000000" w:rsidR="00000000" w:rsidRPr="00000000">
        <w:rPr>
          <w:rFonts w:ascii="Calibri" w:cs="Calibri" w:eastAsia="Calibri" w:hAnsi="Calibri"/>
          <w:sz w:val="22"/>
          <w:szCs w:val="22"/>
          <w:rtl w:val="0"/>
        </w:rPr>
        <w:t xml:space="preserve">Nobody watches. Make a 30-second GIF or screen recording directly embedded in the LinkedIn post. The "Flash-to-Bang" time (time to see value) must be under 5 seconds.</w:t>
      </w:r>
      <w:r w:rsidDel="00000000" w:rsidR="00000000" w:rsidRPr="00000000">
        <w:rPr>
          <w:rtl w:val="0"/>
        </w:rPr>
      </w:r>
    </w:p>
    <w:p w:rsidR="00000000" w:rsidDel="00000000" w:rsidP="00000000" w:rsidRDefault="00000000" w:rsidRPr="00000000" w14:paraId="00000074">
      <w:pPr>
        <w:spacing w:before="300" w:line="250" w:lineRule="auto"/>
        <w:jc w:val="center"/>
        <w:rPr>
          <w:rFonts w:ascii="Calibri" w:cs="Calibri" w:eastAsia="Calibri" w:hAnsi="Calibri"/>
        </w:rPr>
      </w:pPr>
      <w:r w:rsidDel="00000000" w:rsidR="00000000" w:rsidRPr="00000000">
        <w:rPr>
          <w:rFonts w:ascii="Calibri" w:cs="Calibri" w:eastAsia="Calibri" w:hAnsi="Calibri"/>
          <w:color w:val="8892b0"/>
          <w:sz w:val="24"/>
          <w:szCs w:val="24"/>
          <w:rtl w:val="0"/>
        </w:rPr>
        <w:t xml:space="preserve">━━━━━━━━━━━━━━━━━━━━━━━━━━━</w:t>
      </w:r>
      <w:r w:rsidDel="00000000" w:rsidR="00000000" w:rsidRPr="00000000">
        <w:rPr>
          <w:rtl w:val="0"/>
        </w:rPr>
      </w:r>
    </w:p>
    <w:p w:rsidR="00000000" w:rsidDel="00000000" w:rsidP="00000000" w:rsidRDefault="00000000" w:rsidRPr="00000000" w14:paraId="00000075">
      <w:pPr>
        <w:jc w:val="center"/>
        <w:rPr>
          <w:rFonts w:ascii="Calibri" w:cs="Calibri" w:eastAsia="Calibri" w:hAnsi="Calibri"/>
        </w:rPr>
      </w:pPr>
      <w:r w:rsidDel="00000000" w:rsidR="00000000" w:rsidRPr="00000000">
        <w:rPr>
          <w:rFonts w:ascii="Calibri" w:cs="Calibri" w:eastAsia="Calibri" w:hAnsi="Calibri"/>
          <w:i w:val="1"/>
          <w:iCs w:val="1"/>
          <w:color w:val="8892b0"/>
          <w:sz w:val="20"/>
          <w:szCs w:val="20"/>
          <w:rtl w:val="0"/>
        </w:rPr>
        <w:t xml:space="preserve">Strategic authority is built through consistent, valuable content.</w:t>
      </w:r>
      <w:r w:rsidDel="00000000" w:rsidR="00000000" w:rsidRPr="00000000">
        <w:rPr>
          <w:rtl w:val="0"/>
        </w:rPr>
      </w:r>
    </w:p>
    <w:p w:rsidR="00000000" w:rsidDel="00000000" w:rsidP="00000000" w:rsidRDefault="00000000" w:rsidRPr="00000000" w14:paraId="00000076">
      <w:pPr>
        <w:jc w:val="center"/>
        <w:rPr>
          <w:rFonts w:ascii="Calibri" w:cs="Calibri" w:eastAsia="Calibri" w:hAnsi="Calibri"/>
        </w:rPr>
      </w:pPr>
      <w:r w:rsidDel="00000000" w:rsidR="00000000" w:rsidRPr="00000000">
        <w:rPr>
          <w:rFonts w:ascii="Calibri" w:cs="Calibri" w:eastAsia="Calibri" w:hAnsi="Calibri"/>
          <w:i w:val="1"/>
          <w:iCs w:val="1"/>
          <w:color w:val="8892b0"/>
          <w:sz w:val="20"/>
          <w:szCs w:val="20"/>
          <w:rtl w:val="0"/>
        </w:rPr>
        <w:t xml:space="preserve">This campaign positions you as an enabler of innovation.</w:t>
      </w:r>
      <w:r w:rsidDel="00000000" w:rsidR="00000000" w:rsidRPr="00000000">
        <w:rPr>
          <w:rtl w:val="0"/>
        </w:rPr>
      </w:r>
    </w:p>
    <w:sectPr>
      <w:headerReference r:id="rId7" w:type="default"/>
      <w:footerReference r:id="rId8" w:type="default"/>
      <w:pgSz w:h="16838" w:w="11906" w:orient="portrait"/>
      <w:pgMar w:bottom="1440" w:top="1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color w:val="8892b0"/>
        <w:sz w:val="18"/>
        <w:szCs w:val="18"/>
        <w:rtl w:val="0"/>
      </w:rPr>
      <w:t xml:space="preserve">LinkedIn Signature Series Campaign | Raj Champaneriya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Times New Roman" w:cs="Times New Roman" w:eastAsia="Times New Roman" w:hAnsi="Times New Roman"/>
      <w:b w:val="1"/>
      <w:bCs w:val="1"/>
      <w:i w:val="0"/>
      <w:iCs w:val="0"/>
      <w:smallCaps w:val="0"/>
      <w:strike w:val="0"/>
      <w:color w:val="0a192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2d4a6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a192f"/>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juHPfHDs1vu7WEUrnM8ffDoILQ==">CgMxLjA4AHIhMVdTODcxYURPTHhkR0o3WWRWenZEVE50cnB6SlRYR0V0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2026-02-14T12:26:27.402Z</dcterms:created>
  <dc:creator>Un-named</dc:creator>
</cp:coreProperties>
</file>

<file path=docProps/custom.xml><?xml version="1.0" encoding="utf-8"?>
<Properties xmlns="http://schemas.openxmlformats.org/officeDocument/2006/custom-properties" xmlns:vt="http://schemas.openxmlformats.org/officeDocument/2006/docPropsVTypes"/>
</file>