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694"/>
        <w:gridCol w:w="162"/>
        <w:gridCol w:w="54"/>
        <w:gridCol w:w="9490"/>
      </w:tblGrid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1.0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Visual check.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</w:tc>
      </w:tr>
      <w:tr>
        <w:trPr/>
        <w:tc>
          <w:tcPr>
            <w:gridSpan w:val="2"/>
            <w:vAlign w:val="center"/>
            <w:tcW w:w="85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2.0</w:t>
            </w:r>
          </w:p>
        </w:tc>
        <w:tc>
          <w:tcPr>
            <w:gridSpan w:val="2"/>
            <w:vAlign w:val="center"/>
            <w:tcW w:w="9544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4"/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Titrimetric assay.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99 to 101 %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576" w:gutter="0"/>
      <w:cols w:space="720"/>
      <w:titlePg/>
      <w:docGrid w:linePitch="360"/>
      <w:pgBorders>
        <w:top w:val="single" w:sz="4" w:space="2" w:color="auto"/>
        <w:left w:val="single" w:sz="4" w:space="20" w:color="auto"/>
        <w:bottom w:val="single" w:sz="4" w:space="1" w:color="auto"/>
        <w:right w:val="sing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MOA/FG46291/01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METHOD OF ANALYSIS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Verify Product 1784530418666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Ref. Specification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SPEC/FG46291/01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MOA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MOA/FG46291/01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