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600"/>
        <w:gridCol w:w="2600"/>
        <w:gridCol w:w="2600"/>
        <w:gridCol w:w="2600"/>
      </w:tblGrid>
      <w:tr>
        <w:trPr/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Result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Limits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Conclusion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NLT 99 %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</w:tbl>
    <w:p>
      <w:pPr>
        <w:jc w:val="center"/>
      </w:pPr>
      <w:r>
        <w:rPr>
          <w:rFonts w:ascii="Times New Roman" w:hAnsi="Times New Roman"/>
          <w:b/>
          <w:sz w:val="24"/>
        </w:rPr>
        <w:t>Complies with the IP specification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B22-coa-live-1784542704024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COA/VFY/B22-coa-live-1784542704024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VFY 350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B22-coa-live-1784542704024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COA/VFY/B22-coa-live-1784542704024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VFY 350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