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Glycine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2-aminoethanoic acid.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100 %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Synthetic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Chemical synthesis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Packing</w:t>
            </w:r>
          </w:p>
        </w:tc>
        <w:tc>
          <w:tcPr>
            <w:vAlign w:val="center"/>
            <w:tcW w:w="170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Primary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400 GSM LDPE polybag/liner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170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Secondary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HDPE/PAPER/PAPER HDPE BAGS &amp; PAPER /HDPE drums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Shelf Life of Raw Materials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 years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8. Storage Conditions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Preserve in Well-closed container at room temperature.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9. Special Handling Requirements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N/A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10. Sampling Plan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11.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 white, crystalline powder.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12.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Solubility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Freely soluble in water; very slightly soluble in ethanol (95%); practically insoluble in ether.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170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Identification</w:t>
            </w:r>
          </w:p>
        </w:tc>
        <w:tc>
          <w:tcPr>
            <w:vAlign w:val="center"/>
            <w:tcW w:w="1985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A) By IR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IR spectrum of Glycine sample should be concordant with IR spectrum of Glycine working standard.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2152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1534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B) By Chemical test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The resulting solution is violet with a greenish yellow fluorescence. After a few minutes the solution becomes orange and then yellow and the intense fluorescence remains.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 of solution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 10.0% w/v solution in carbon dioxide-free water is clear &amp; not more intensely colored than reference solution YS7.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Heavy metals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 ppm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Sulphated ash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0.1%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 (On dried basis)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98.5% to 101.5%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Sieve analysis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 per customer requirement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Bulk Density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 per customer requirement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Elemental impurities by AAS (As per ICH Q3D)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Lead (Pb)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Arsenic (As)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Mercury (Hg)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0.1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Cadmium (Cd)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Cobalt (Co)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Vanadium (V)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Nickle (Ni)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Lithium (Li)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Antimony (Sb)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Copper (Cu)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NMT 0.5 µg/g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Foreign matter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 in 5 gm sample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Ethylene oxide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0.1 ppm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OVI/Residual solvent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 per ICH guideline Q3C(R8)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Bacterial endotoxin test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Lowest detection limit 5 EU/g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Pathogen in general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TAMC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10³ CFU/ 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TYMC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10² CFU/ g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Escherichia coli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Salmonella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Pseudomonas aeruginosa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Staphylococcus aureus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Coliforms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absent</w:t>
            </w:r>
          </w:p>
        </w:tc>
      </w:tr>
      <w:tr>
        <w:trPr/>
        <w:tc>
          <w:tcPr>
            <w:gridSpan w:val="2"/>
            <w:vAlign w:val="center"/>
            <w:tcW w:w="5949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13. Retained Sample Quantity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30 gm</w:t>
            </w:r>
          </w:p>
        </w:tc>
      </w:tr>
      <w:tr>
        <w:trPr/>
        <w:tc>
          <w:tcPr>
            <w:gridSpan w:val="2"/>
            <w:vAlign w:val="center"/>
            <w:tcW w:w="5949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14. Retained Sample Retention Period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Expiry + 1 year</w:t>
            </w:r>
          </w:p>
        </w:tc>
      </w:tr>
    </w:tbl>
    <w:p>
      <w:r>
        <w:rPr>
          <w:rFonts w:ascii="Times New Roman" w:hAnsi="Times New Roman"/>
          <w:b/>
          <w:sz w:val="24"/>
        </w:rPr>
        <w:t>Revision History:</w:t>
      </w:r>
    </w:p>
    <w:tbl>
      <w:tblPr>
        <w:tblLook w:firstColumn="1" w:firstRow="1" w:lastColumn="0" w:lastRow="0" w:noHBand="0" w:noVBand="1" w:val="04A0"/>
        <w:tblStyle w:val="TableGrid"/>
        <w:tblW w:w="11160" w:type="dxa"/>
        <w:tblInd w:w="0" w:type="dxa"/>
        <w:tblLayout w:type="fixed"/>
      </w:tblPr>
      <w:tblGrid>
        <w:gridCol w:w="2813"/>
        <w:gridCol w:w="3487"/>
        <w:gridCol w:w="2430"/>
        <w:gridCol w:w="2430"/>
      </w:tblGrid>
      <w:tr>
        <w:trPr/>
        <w:tc>
          <w:tcPr>
            <w:vAlign w:val="center"/>
            <w:tcW w:w="281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Specification No.</w:t>
            </w:r>
          </w:p>
        </w:tc>
        <w:tc>
          <w:tcPr>
            <w:vAlign w:val="center"/>
            <w:tcW w:w="3487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Revision Made</w:t>
            </w:r>
          </w:p>
        </w:tc>
        <w:tc>
          <w:tcPr>
            <w:vAlign w:val="center"/>
            <w:tcW w:w="243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Ref. CC No.</w:t>
            </w:r>
          </w:p>
        </w:tc>
        <w:tc>
          <w:tcPr>
            <w:vAlign w:val="center"/>
            <w:tcW w:w="243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Effective Date</w:t>
            </w:r>
          </w:p>
        </w:tc>
      </w:tr>
      <w:tr>
        <w:trPr/>
        <w:tc>
          <w:tcPr>
            <w:vAlign w:val="center"/>
            <w:tcW w:w="2813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SPEC/FG00038/01(R-00)</w:t>
            </w:r>
          </w:p>
        </w:tc>
        <w:tc>
          <w:tcPr>
            <w:vAlign w:val="center"/>
            <w:tcW w:w="348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New specification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-------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2021-04-21</w:t>
            </w:r>
          </w:p>
        </w:tc>
      </w:tr>
      <w:tr>
        <w:trPr/>
        <w:tc>
          <w:tcPr>
            <w:vAlign w:val="center"/>
            <w:tcW w:w="2813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SPEC/FG00038/01(R-01)</w:t>
            </w:r>
          </w:p>
        </w:tc>
        <w:tc>
          <w:tcPr>
            <w:vAlign w:val="center"/>
            <w:tcW w:w="348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Format revised as per revised SOP QC/12.Some contents revised as per FSSAI requirement.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CC/2022/003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2022-06-01</w:t>
            </w:r>
          </w:p>
        </w:tc>
      </w:tr>
      <w:tr>
        <w:trPr/>
        <w:tc>
          <w:tcPr>
            <w:vAlign w:val="center"/>
            <w:tcW w:w="2813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SPEC/FG00038/01(R-02)</w:t>
            </w:r>
          </w:p>
        </w:tc>
        <w:tc>
          <w:tcPr>
            <w:vAlign w:val="center"/>
            <w:tcW w:w="348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Elemental impurity by AAS added. Ethylene oxide test added.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CC/2023/010</w:t>
            </w:r>
          </w:p>
        </w:tc>
        <w:tc>
          <w:tcPr>
            <w:vAlign w:val="center"/>
            <w:tcW w:w="243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2023-06-01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SPEC/FG00038/01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sz w:val="24"/>
            </w:rPr>
            <w:t>C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  <w:r>
            <w:rPr>
              <w:rFonts w:ascii="Times New Roman" w:hAnsi="Times New Roman"/>
              <w:sz w:val="24"/>
            </w:rPr>
            <w:t>H</w:t>
          </w:r>
          <w:r>
            <w:rPr>
              <w:rFonts w:ascii="Times New Roman" w:hAnsi="Times New Roman"/>
              <w:sz w:val="24"/>
              <w:vertAlign w:val="subscript"/>
            </w:rPr>
            <w:t>5</w:t>
          </w:r>
          <w:r>
            <w:rPr>
              <w:rFonts w:ascii="Times New Roman" w:hAnsi="Times New Roman"/>
              <w:sz w:val="24"/>
            </w:rPr>
            <w:t>NO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75.1 g/mole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IP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Glycine IP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SPEC/FG00038/01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spacing w:before="0" w:after="0" w:line="360" w:lineRule="auto"/>
          </w:pPr>
          <w:r/>
          <w:r>
            <w:rPr>
              <w:rFonts w:ascii="Times New Roman" w:hAnsi="Times New Roman"/>
              <w:sz w:val="24"/>
            </w:rPr>
            <w:t>C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  <w:r>
            <w:rPr>
              <w:rFonts w:ascii="Times New Roman" w:hAnsi="Times New Roman"/>
              <w:sz w:val="24"/>
            </w:rPr>
            <w:t>H</w:t>
          </w:r>
          <w:r>
            <w:rPr>
              <w:rFonts w:ascii="Times New Roman" w:hAnsi="Times New Roman"/>
              <w:sz w:val="24"/>
              <w:vertAlign w:val="subscript"/>
            </w:rPr>
            <w:t>5</w:t>
          </w:r>
          <w:r>
            <w:rPr>
              <w:rFonts w:ascii="Times New Roman" w:hAnsi="Times New Roman"/>
              <w:sz w:val="24"/>
            </w:rPr>
            <w:t>NO</w:t>
          </w:r>
          <w:r>
            <w:rPr>
              <w:rFonts w:ascii="Times New Roman" w:hAnsi="Times New Roman"/>
              <w:sz w:val="24"/>
              <w:vertAlign w:val="subscript"/>
            </w:rPr>
            <w:t>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75.1 g/mole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IP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