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94"/>
        <w:gridCol w:w="162"/>
        <w:gridCol w:w="54"/>
        <w:gridCol w:w="9490"/>
      </w:tblGrid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Take about 1.0 g of sample and spread to clean Petri dish. Check product visually for colour.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A white, crystalline powder.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Solubility: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Take about 1.0 g of sample into 10 ml of water and check solubility.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Freely soluble in water; very slightly soluble in ethanol (95%); practically insoluble in ether.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3.0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Identification: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A) By IR Spectrophotometry: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Acceptance Criteria: IR spectrum of Glycine sample should be concordant with IR spectrum of Glycine working standard.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B) By Chemical test: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Acceptance Criteria: The resulting solution is violet with a greenish yellow fluorescence. After a few minutes the solution becomes orange and then yellow and the intense fluorescence remains.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4.0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 of solution: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Acceptance Criteria: A 10.0% w/v solution in carbon dioxide-free water is clear &amp; not more intensely colored than reference solution YS7.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Acceptance Criteria: 5.9 to 6.3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6.0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7.0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Heavy metals: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Acceptance Criteria: NMT 10 ppm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8.0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Sulphated ash: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Acceptance Criteria: NMT 0.1%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Acceptance Criteria: NMT 0.5%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10.0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 (On dried basis):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Acceptance Criteria: 98.5% to 101.5%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11.0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Sieve analysis: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Acceptance Criteria: As per customer requirement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12.0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Bulk Density: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Acceptance Criteria: As per customer requirement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13.0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Elemental impurities by AAS (As per ICH Q3D):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A) Lead (Pb):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Acceptance Criteria: Lowest detection limit NMT 0.5 µg/g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B) Arsenic (As):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Acceptance Criteria: Lowest detection limit NMT 0.5 µg/g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C) Mercury (Hg):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Acceptance Criteria: Lowest detection limit NMT 0.1 µg/g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D) Cadmium (Cd):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Acceptance Criteria: Lowest detection limit NMT 0.5 µg/g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E) Cobalt (Co):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Acceptance Criteria: Lowest detection limit NMT 0.5 µg/g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F) Vanadium (V):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Acceptance Criteria: Lowest detection limit NMT 0.5 µg/g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G) Nickle (Ni):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Acceptance Criteria: Lowest detection limit NMT 0.5 µg/g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H) Lithium (Li):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Acceptance Criteria: Lowest detection limit NMT 0.5 µg/g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I) Antimony (Sb):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Acceptance Criteria: Lowest detection limit NMT 0.5 µg/g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J) Copper (Cu):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Acceptance Criteria: Lowest detection limit NMT 0.5 µg/g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K) Foreign matter: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Acceptance Criteria: Should be absent in 5 gm sample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L) Ethylene oxide: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Acceptance Criteria: NMT 0.1 ppm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M) OVI/Residual solvent: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Acceptance Criteria: As per ICH guideline Q3C(R8)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14.0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Bacterial endotoxin test: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Acceptance Criteria: Lowest detection limit 5 EU/g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15.0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Pathogen in general: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Acceptance Criteria: Should be absent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16.0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TAMC: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Acceptance Criteria: NMT 10³ CFU/ g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17.0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TYMC: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Acceptance Criteria: NMT 10² CFU/ g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18.0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Escherichia coli: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Acceptance Criteria: Should be absent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19.0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Salmonella: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Acceptance Criteria: Should be absent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Pseudomonas aeruginosa: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Acceptance Criteria: Should be absent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21.0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Staphylococcus aureus: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Acceptance Criteria: Should be absent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22.0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Coliforms: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Acceptance Criteria: Should be absent</w:t>
            </w:r>
          </w:p>
        </w:tc>
      </w:tr>
    </w:tbl>
    <w:p>
      <w:r>
        <w:rPr>
          <w:rFonts w:ascii="Times New Roman" w:hAnsi="Times New Roman"/>
          <w:b/>
          <w:sz w:val="24"/>
        </w:rPr>
        <w:t>Revision History:</w:t>
      </w:r>
    </w:p>
    <w:tbl>
      <w:tblPr>
        <w:tblLook w:firstColumn="1" w:firstRow="1" w:lastColumn="0" w:lastRow="0" w:noHBand="0" w:noVBand="1" w:val="04A0"/>
        <w:tblStyle w:val="TableGrid"/>
        <w:tblW w:w="10400" w:type="dxa"/>
        <w:tblInd w:w="0" w:type="dxa"/>
        <w:tblLayout w:type="fixed"/>
      </w:tblPr>
      <w:tblGrid>
        <w:gridCol w:w="2949"/>
        <w:gridCol w:w="3986"/>
        <w:gridCol w:w="1629"/>
        <w:gridCol w:w="1836"/>
      </w:tblGrid>
      <w:tr>
        <w:trPr/>
        <w:tc>
          <w:tcPr>
            <w:vAlign w:val="center"/>
            <w:tcW w:w="294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Specification No.</w:t>
            </w:r>
          </w:p>
        </w:tc>
        <w:tc>
          <w:tcPr>
            <w:vAlign w:val="center"/>
            <w:tcW w:w="39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Revision Made</w:t>
            </w:r>
          </w:p>
        </w:tc>
        <w:tc>
          <w:tcPr>
            <w:vAlign w:val="center"/>
            <w:tcW w:w="162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Ref. CC No.</w:t>
            </w:r>
          </w:p>
        </w:tc>
        <w:tc>
          <w:tcPr>
            <w:vAlign w:val="center"/>
            <w:tcW w:w="183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Effective Date</w:t>
            </w:r>
          </w:p>
        </w:tc>
      </w:tr>
      <w:tr>
        <w:trPr/>
        <w:tc>
          <w:tcPr>
            <w:vAlign w:val="center"/>
            <w:tcW w:w="2949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SPEC/FG00038/01(R-00)</w:t>
            </w:r>
          </w:p>
        </w:tc>
        <w:tc>
          <w:tcPr>
            <w:vAlign w:val="center"/>
            <w:tcW w:w="39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New specification</w:t>
            </w:r>
          </w:p>
        </w:tc>
        <w:tc>
          <w:tcPr>
            <w:vAlign w:val="center"/>
            <w:tcW w:w="1629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-------</w:t>
            </w:r>
          </w:p>
        </w:tc>
        <w:tc>
          <w:tcPr>
            <w:vAlign w:val="center"/>
            <w:tcW w:w="183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21 APR 2021</w:t>
            </w:r>
          </w:p>
        </w:tc>
      </w:tr>
      <w:tr>
        <w:trPr/>
        <w:tc>
          <w:tcPr>
            <w:vAlign w:val="center"/>
            <w:tcW w:w="2949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SPEC/FG00038/01(R-01)</w:t>
            </w:r>
          </w:p>
        </w:tc>
        <w:tc>
          <w:tcPr>
            <w:vAlign w:val="center"/>
            <w:tcW w:w="39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Format revised as per revised SOP QC/12.Some contents revised as per FSSAI requirement.</w:t>
            </w:r>
          </w:p>
        </w:tc>
        <w:tc>
          <w:tcPr>
            <w:vAlign w:val="center"/>
            <w:tcW w:w="1629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CC/2022/003</w:t>
            </w:r>
          </w:p>
        </w:tc>
        <w:tc>
          <w:tcPr>
            <w:vAlign w:val="center"/>
            <w:tcW w:w="183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01 JUN 2022</w:t>
            </w:r>
          </w:p>
        </w:tc>
      </w:tr>
      <w:tr>
        <w:trPr/>
        <w:tc>
          <w:tcPr>
            <w:vAlign w:val="center"/>
            <w:tcW w:w="2949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SPEC/FG00038/01(R-02)</w:t>
            </w:r>
          </w:p>
        </w:tc>
        <w:tc>
          <w:tcPr>
            <w:vAlign w:val="center"/>
            <w:tcW w:w="39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Elemental impurity by AAS added. Ethylene oxide test added.</w:t>
            </w:r>
          </w:p>
        </w:tc>
        <w:tc>
          <w:tcPr>
            <w:vAlign w:val="center"/>
            <w:tcW w:w="1629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CC/2023/010</w:t>
            </w:r>
          </w:p>
        </w:tc>
        <w:tc>
          <w:tcPr>
            <w:vAlign w:val="center"/>
            <w:tcW w:w="183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01 JUN 2023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576" w:gutter="0"/>
      <w:cols w:space="720"/>
      <w:titlePg/>
      <w:docGrid w:linePitch="360"/>
      <w:pgBorders>
        <w:top w:val="single" w:sz="4" w:space="2" w:color="auto"/>
        <w:left w:val="single" w:sz="4" w:space="20" w:color="auto"/>
        <w:bottom w:val="single" w:sz="4" w:space="1" w:color="auto"/>
        <w:right w:val="sing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Head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Head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60807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60807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Glycine IP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SPEC/FG00038/01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spacing w:before="0" w:after="0" w:line="360" w:lineRule="auto"/>
          </w:pPr>
          <w:r/>
          <w:r>
            <w:rPr>
              <w:rFonts w:ascii="Times New Roman" w:hAnsi="Times New Roman"/>
              <w:sz w:val="24"/>
            </w:rPr>
            <w:t>C</w:t>
          </w:r>
          <w:r>
            <w:rPr>
              <w:rFonts w:ascii="Times New Roman" w:hAnsi="Times New Roman"/>
              <w:sz w:val="24"/>
              <w:vertAlign w:val="subscript"/>
            </w:rPr>
            <w:t>2</w:t>
          </w:r>
          <w:r>
            <w:rPr>
              <w:rFonts w:ascii="Times New Roman" w:hAnsi="Times New Roman"/>
              <w:sz w:val="24"/>
            </w:rPr>
            <w:t>H</w:t>
          </w:r>
          <w:r>
            <w:rPr>
              <w:rFonts w:ascii="Times New Roman" w:hAnsi="Times New Roman"/>
              <w:sz w:val="24"/>
              <w:vertAlign w:val="subscript"/>
            </w:rPr>
            <w:t>5</w:t>
          </w:r>
          <w:r>
            <w:rPr>
              <w:rFonts w:ascii="Times New Roman" w:hAnsi="Times New Roman"/>
              <w:sz w:val="24"/>
            </w:rPr>
            <w:t>NO</w:t>
          </w:r>
          <w:r>
            <w:rPr>
              <w:rFonts w:ascii="Times New Roman" w:hAnsi="Times New Roman"/>
              <w:sz w:val="24"/>
              <w:vertAlign w:val="subscript"/>
            </w:rPr>
            <w:t>2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MOA/FG00038/01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75.1 g/mole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 JAN 2025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IP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 JAN 2028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60807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60807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Glycine IP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SPEC/FG00038/01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spacing w:before="0" w:after="0" w:line="360" w:lineRule="auto"/>
          </w:pPr>
          <w:r/>
          <w:r>
            <w:rPr>
              <w:rFonts w:ascii="Times New Roman" w:hAnsi="Times New Roman"/>
              <w:sz w:val="24"/>
            </w:rPr>
            <w:t>C</w:t>
          </w:r>
          <w:r>
            <w:rPr>
              <w:rFonts w:ascii="Times New Roman" w:hAnsi="Times New Roman"/>
              <w:sz w:val="24"/>
              <w:vertAlign w:val="subscript"/>
            </w:rPr>
            <w:t>2</w:t>
          </w:r>
          <w:r>
            <w:rPr>
              <w:rFonts w:ascii="Times New Roman" w:hAnsi="Times New Roman"/>
              <w:sz w:val="24"/>
            </w:rPr>
            <w:t>H</w:t>
          </w:r>
          <w:r>
            <w:rPr>
              <w:rFonts w:ascii="Times New Roman" w:hAnsi="Times New Roman"/>
              <w:sz w:val="24"/>
              <w:vertAlign w:val="subscript"/>
            </w:rPr>
            <w:t>5</w:t>
          </w:r>
          <w:r>
            <w:rPr>
              <w:rFonts w:ascii="Times New Roman" w:hAnsi="Times New Roman"/>
              <w:sz w:val="24"/>
            </w:rPr>
            <w:t>NO</w:t>
          </w:r>
          <w:r>
            <w:rPr>
              <w:rFonts w:ascii="Times New Roman" w:hAnsi="Times New Roman"/>
              <w:sz w:val="24"/>
              <w:vertAlign w:val="subscript"/>
            </w:rPr>
            <w:t>2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MOA/FG00038/01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75.1 g/mole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 JAN 2025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IP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 JAN 2028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