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 (IP)MOA/FG00038/01 (IP)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 white, crystalline powder.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Solubility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Freely soluble in water; very slightly soluble in ethanol (95%); practically insoluble in ether.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gridSpan w:val="4"/>
            <w:tcW w:w="9463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Identification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By IR Spectrophotometry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IR spectrum of Glycine sample should be concordant with IR spectrum of Glycine working standard.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By Chemical test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The resulting solution is violet with a greenish yellow fluorescence. After a few minutes the solution becomes orange and then yellow and the intense fluorescence remains.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 of solution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 10.0% w/v solution in carbon dioxide-free water is clear &amp; not more intensely colored than reference solution YS7.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Heavy metals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Sulphated ash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0.1%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 (On dried basis)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98.5% to 101.5%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gridSpan w:val="4"/>
            <w:tcW w:w="9463" w:type="dxa"/>
          </w:tcPr>
          <w:p>
            <w:r/>
            <w:r>
              <w:rPr>
                <w:rFonts w:ascii="Times New Roman" w:hAnsi="Times New Roman"/>
                <w:b/>
                <w:sz w:val="24"/>
              </w:rPr>
              <w:t>Additional Tests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Sieve analysis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 per customer requirement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Bulk Density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 per customer requirement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13.</w:t>
            </w:r>
          </w:p>
        </w:tc>
        <w:tc>
          <w:tcPr>
            <w:gridSpan w:val="4"/>
            <w:tcW w:w="9463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Elemental impurities by AAS (As per ICH Q3D)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Lead (Pb)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Arsenic (As)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Mercury (Hg)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0.1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Cadmium (Cd)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Cobalt (Co)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Vanadium (V)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Nickle (Ni)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Lithium (Li)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Antimony (Sb)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Copper (Cu)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Foreign matter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 be absent in 5 gm sample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Ethylene oxide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0.1 ppm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OVI/Residual solvent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 per ICH guideline Q3C(R8)</w:t>
            </w:r>
          </w:p>
        </w:tc>
      </w:tr>
      <w:tr>
        <w:trPr/>
        <w:tc>
          <w:tcPr>
            <w:tcW w:w="937" w:type="dxa"/>
          </w:tcPr>
          <w:p>
            <w:r/>
          </w:p>
        </w:tc>
        <w:tc>
          <w:tcPr>
            <w:gridSpan w:val="4"/>
            <w:tcW w:w="9463" w:type="dxa"/>
          </w:tcPr>
          <w:p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Bacterial endotoxin test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Lowest detection limit 5 EU/g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Pathogen in general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TAMC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10³ CFU/ g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TYMC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10² CFU/ g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Escherichia coli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Salmonella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Pseudomonas aeruginosa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Staphylococcus aureus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Coliforms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Style w:val="TableGrid"/>
        <w:tblW w:w="10400" w:type="dxa"/>
        <w:tblInd w:w="0" w:type="dxa"/>
        <w:tblLayout w:type="fixed"/>
      </w:tblPr>
      <w:tblGrid>
        <w:gridCol w:w="2544"/>
        <w:gridCol w:w="2286"/>
        <w:gridCol w:w="2905"/>
        <w:gridCol w:w="2665"/>
      </w:tblGrid>
      <w:tr>
        <w:tc>
          <w:tcPr>
            <w:vAlign w:val="center"/>
            <w:tcW w:w="2544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2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Analyzed By</w:t>
            </w:r>
          </w:p>
        </w:tc>
        <w:tc>
          <w:tcPr>
            <w:vAlign w:val="center"/>
            <w:tcW w:w="2905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Checked By</w:t>
            </w:r>
          </w:p>
        </w:tc>
        <w:tc>
          <w:tcPr>
            <w:vAlign w:val="center"/>
            <w:tcW w:w="2665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Approved By</w:t>
            </w:r>
          </w:p>
        </w:tc>
      </w:tr>
      <w:tr>
        <w:tc>
          <w:tcPr>
            <w:vAlign w:val="center"/>
            <w:tcW w:w="2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Sign</w:t>
            </w:r>
          </w:p>
        </w:tc>
        <w:tc>
          <w:tcPr>
            <w:vAlign w:val="center"/>
            <w:tcW w:w="228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905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665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c>
          <w:tcPr>
            <w:vAlign w:val="center"/>
            <w:tcW w:w="2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Date</w:t>
            </w:r>
          </w:p>
        </w:tc>
        <w:tc>
          <w:tcPr>
            <w:vAlign w:val="center"/>
            <w:tcW w:w="2286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905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665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Take about 1.0 g of sample and spread to clean Petri dish. Check product visually for colour.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A white, crystalline powder.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Solubility: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Take about 1.0 g of sample into 10 ml of water and check solubility.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Freely soluble in water; very slightly soluble in ethanol (95%); practically insoluble in ether.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Identification:</w:t>
            </w:r>
          </w:p>
        </w:tc>
      </w:tr>
    </w:tbl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By IR Spectrophotometry: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IR spectrum of Glycine sample should be concordant with IR spectrum of Glycine working standard.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By Chemical test: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The resulting solution is violet with a greenish yellow fluorescence. After a few minutes the solution becomes orange and then yellow and the intense fluorescence remains.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 of solution: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A 10.0% w/v solution in carbon dioxide-free water is clear &amp; not more intensely colored than reference solution YS7.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6.0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7.0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Heavy metals: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8.0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Sulphated ash: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0.1%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9.0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10.0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 (On dried basis):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98.5% to 101.5%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11.0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Sieve analysis: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As per customer requirement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12.0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Bulk Density: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As per customer requirement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13.0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Elemental impurities by AAS (As per ICH Q3D):</w:t>
            </w:r>
          </w:p>
        </w:tc>
      </w:tr>
    </w:tbl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Lead (Pb):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Arsenic (As):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Mercury (Hg):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0.1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Cadmium (Cd):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Cobalt (Co):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Vanadium (V):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G.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Nickle (Ni):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H.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Lithium (Li):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Antimony (Sb):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J.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Copper (Cu):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NMT 0.5 µg/g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K.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Foreign matter: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Should be absent in 5 gm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Ethylene oxide: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0.1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M.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OVI/Residual solvent: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As per ICH guideline Q3C(R8)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14.0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Bacterial endotoxin test: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Lowest detection limit 5 EU/g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15.0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Pathogen in general: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16.0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TAMC: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10³ CFU/ 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17.0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TYMC: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10² CFU/ g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18.0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Escherichia coli: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19.0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Salmonella: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20.0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Pseudomonas aeruginosa: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21.0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Staphylococcus aureus: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22.0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Coliforms: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Observation: 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Should be absent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 /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___________________                     Checked By: _____________________</w:t>
            </w:r>
          </w:p>
        </w:tc>
      </w:tr>
    </w:tbl>
    <w:p>
      <w:r>
        <w:rPr>
          <w:rFonts w:ascii="Times New Roman" w:hAnsi="Times New Roman"/>
          <w:b/>
          <w:sz w:val="24"/>
        </w:rPr>
        <w:t>Revision History:</w:t>
      </w:r>
    </w:p>
    <w:tbl>
      <w:tblPr>
        <w:tblLook w:firstColumn="1" w:firstRow="1" w:lastColumn="0" w:lastRow="0" w:noHBand="0" w:noVBand="1" w:val="04A0"/>
        <w:tblStyle w:val="TableGrid"/>
        <w:tblW w:w="10400" w:type="dxa"/>
        <w:tblInd w:w="0" w:type="dxa"/>
        <w:tblLayout w:type="fixed"/>
      </w:tblPr>
      <w:tblGrid>
        <w:gridCol w:w="2546"/>
        <w:gridCol w:w="3882"/>
        <w:gridCol w:w="2008"/>
        <w:gridCol w:w="1964"/>
      </w:tblGrid>
      <w:tr>
        <w:trPr/>
        <w:tc>
          <w:tcPr>
            <w:vAlign w:val="center"/>
            <w:tcW w:w="254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Protocol No.</w:t>
            </w:r>
          </w:p>
        </w:tc>
        <w:tc>
          <w:tcPr>
            <w:vAlign w:val="center"/>
            <w:tcW w:w="388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Revision Made</w:t>
            </w:r>
          </w:p>
        </w:tc>
        <w:tc>
          <w:tcPr>
            <w:vAlign w:val="center"/>
            <w:tcW w:w="2008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Ref. CC No.</w:t>
            </w:r>
          </w:p>
        </w:tc>
        <w:tc>
          <w:tcPr>
            <w:vAlign w:val="center"/>
            <w:tcW w:w="1964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Effective Date</w:t>
            </w:r>
          </w:p>
        </w:tc>
      </w:tr>
      <w:tr>
        <w:trPr/>
        <w:tc>
          <w:tcPr>
            <w:vAlign w:val="center"/>
            <w:tcW w:w="254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SPEC/FG00038/01(R-00)</w:t>
            </w:r>
          </w:p>
        </w:tc>
        <w:tc>
          <w:tcPr>
            <w:vAlign w:val="center"/>
            <w:tcW w:w="3882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 specification</w:t>
            </w:r>
          </w:p>
        </w:tc>
        <w:tc>
          <w:tcPr>
            <w:vAlign w:val="center"/>
            <w:tcW w:w="2008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-------</w:t>
            </w:r>
          </w:p>
        </w:tc>
        <w:tc>
          <w:tcPr>
            <w:vAlign w:val="center"/>
            <w:tcW w:w="196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21 APR 2021</w:t>
            </w:r>
          </w:p>
        </w:tc>
      </w:tr>
      <w:tr>
        <w:trPr/>
        <w:tc>
          <w:tcPr>
            <w:vAlign w:val="center"/>
            <w:tcW w:w="254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SPEC/FG00038/01(R-01)</w:t>
            </w:r>
          </w:p>
        </w:tc>
        <w:tc>
          <w:tcPr>
            <w:vAlign w:val="center"/>
            <w:tcW w:w="3882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Format revised as per revised SOP QC/12.Some contents revised as per FSSAI requirement.</w:t>
            </w:r>
          </w:p>
        </w:tc>
        <w:tc>
          <w:tcPr>
            <w:vAlign w:val="center"/>
            <w:tcW w:w="2008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CC/2022/003</w:t>
            </w:r>
          </w:p>
        </w:tc>
        <w:tc>
          <w:tcPr>
            <w:vAlign w:val="center"/>
            <w:tcW w:w="196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01 JUN 2022</w:t>
            </w:r>
          </w:p>
        </w:tc>
      </w:tr>
      <w:tr>
        <w:trPr/>
        <w:tc>
          <w:tcPr>
            <w:vAlign w:val="center"/>
            <w:tcW w:w="254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SPEC/FG00038/01(R-02)</w:t>
            </w:r>
          </w:p>
        </w:tc>
        <w:tc>
          <w:tcPr>
            <w:vAlign w:val="center"/>
            <w:tcW w:w="3882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Elemental impurity by AAS added. Ethylene oxide test added.</w:t>
            </w:r>
          </w:p>
        </w:tc>
        <w:tc>
          <w:tcPr>
            <w:vAlign w:val="center"/>
            <w:tcW w:w="2008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CC/2023/010</w:t>
            </w:r>
          </w:p>
        </w:tc>
        <w:tc>
          <w:tcPr>
            <w:vAlign w:val="center"/>
            <w:tcW w:w="196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01 JUN 2023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Head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Protocol ID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PROT/FG00038/01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2028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6080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6080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Protocol ID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PROT/FG00038/01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 JAN 2028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