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Jump and Link Instruction: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Assembly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JAL rd imm21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Machine Encoding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Semantics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Target = PC + sign-extended(imm21)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GPR[rd] = PC + 4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PC = 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Exceptions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misaligned target (4‐byte)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  <w:r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  <w:t>Jump Indirect Instruction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  <w:r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  <w:t>Assembly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JALR rd, rs1,imm12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  <w:r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  <w:t>Machine Encoding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theme="minorBidi"/>
          <w:b/>
          <w:bCs/>
          <w:color w:val="000000"/>
          <w:kern w:val="0"/>
          <w:sz w:val="23"/>
          <w:szCs w:val="23"/>
          <w:lang w:val="en-US" w:eastAsia="zh-CN" w:bidi="ar-SA"/>
        </w:rPr>
      </w:pPr>
      <w:r>
        <w:rPr>
          <w:rFonts w:hint="default" w:ascii="Arial" w:hAnsi="Arial" w:eastAsia="CMBX12" w:cstheme="minorBidi"/>
          <w:b/>
          <w:bCs/>
          <w:color w:val="000000"/>
          <w:kern w:val="0"/>
          <w:sz w:val="23"/>
          <w:szCs w:val="23"/>
          <w:lang w:val="en-US" w:eastAsia="zh-CN" w:bidi="ar-SA"/>
        </w:rPr>
        <w:t xml:space="preserve">Semantics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 xml:space="preserve">– target = GPR[rs1] + sign‐extend(imm12)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 xml:space="preserve">– target &amp;= 0xffff_fffe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 xml:space="preserve">– GPR[rd]  PC + 4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– PC  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Arial" w:hAnsi="Arial" w:eastAsia="CMBX12"/>
          <w:b/>
          <w:bCs/>
          <w:color w:val="000000"/>
          <w:kern w:val="0"/>
          <w:sz w:val="23"/>
          <w:szCs w:val="23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Arial" w:hAnsi="Arial" w:eastAsia="CMBX12" w:cs="Arial"/>
          <w:b/>
          <w:bCs/>
          <w:color w:val="000000"/>
          <w:kern w:val="0"/>
          <w:sz w:val="23"/>
          <w:szCs w:val="23"/>
          <w:lang w:val="en-US" w:eastAsia="zh-CN" w:bidi="ar"/>
        </w:rPr>
        <w:t>Exceptions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E101A"/>
          <w:kern w:val="0"/>
          <w:sz w:val="24"/>
          <w:szCs w:val="24"/>
          <w:lang w:val="en-US" w:eastAsia="zh-CN" w:bidi="ar"/>
        </w:rPr>
        <w:t>misaligned target (4‐byte)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4212"/>
    <w:rsid w:val="217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2021-04-20T05:12:00Z</dcterms:created>
  <dc:creator>ABHISHEK PANDYA</dc:creator>
  <cp:lastModifiedBy>ABHISHEK PANDYA</cp:lastModifiedBy>
  <dcterms:modified xsi:type="dcterms:W3CDTF">2021-04-20T05:12:21Z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