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0548B"/>
    <w:p w14:paraId="54F23BC0">
      <w:pPr>
        <w:rPr>
          <w:sz w:val="28"/>
          <w:szCs w:val="28"/>
        </w:rPr>
      </w:pPr>
    </w:p>
    <w:p w14:paraId="6A909CE7">
      <w:pPr>
        <w:spacing w:after="40"/>
        <w:jc w:val="center"/>
        <w:rPr>
          <w:sz w:val="28"/>
          <w:szCs w:val="28"/>
        </w:rPr>
      </w:pPr>
      <w:r>
        <w:rPr>
          <w:rFonts w:ascii="Times New Roman" w:hAnsi="Times New Roman"/>
          <w:b/>
          <w:color w:val="173A31"/>
          <w:sz w:val="28"/>
          <w:szCs w:val="28"/>
        </w:rPr>
        <w:t>COMMONROOM</w:t>
      </w:r>
    </w:p>
    <w:p w14:paraId="2F13F4CD">
      <w:pPr>
        <w:spacing w:after="280"/>
        <w:jc w:val="center"/>
        <w:rPr>
          <w:sz w:val="28"/>
          <w:szCs w:val="28"/>
        </w:rPr>
      </w:pPr>
      <w:r>
        <w:rPr>
          <w:rFonts w:ascii="Times New Roman" w:hAnsi="Times New Roman"/>
          <w:b/>
          <w:color w:val="173A31"/>
          <w:sz w:val="28"/>
          <w:szCs w:val="28"/>
        </w:rPr>
        <w:t>END-TO-END ENCRYPTED CHAT SYSTEM</w:t>
      </w:r>
    </w:p>
    <w:p w14:paraId="46B4DFFE">
      <w:pPr>
        <w:spacing w:after="360"/>
        <w:jc w:val="center"/>
        <w:rPr>
          <w:sz w:val="28"/>
          <w:szCs w:val="28"/>
        </w:rPr>
      </w:pPr>
      <w:r>
        <w:rPr>
          <w:rFonts w:ascii="Times New Roman" w:hAnsi="Times New Roman"/>
          <w:b/>
          <w:sz w:val="28"/>
          <w:szCs w:val="28"/>
        </w:rPr>
        <w:t>M</w:t>
      </w:r>
      <w:r>
        <w:rPr>
          <w:rFonts w:hint="default"/>
          <w:b/>
          <w:sz w:val="28"/>
          <w:szCs w:val="28"/>
          <w:lang w:val="en-US"/>
        </w:rPr>
        <w:t xml:space="preserve">acro </w:t>
      </w:r>
      <w:r>
        <w:rPr>
          <w:rFonts w:ascii="Times New Roman" w:hAnsi="Times New Roman"/>
          <w:b/>
          <w:sz w:val="28"/>
          <w:szCs w:val="28"/>
        </w:rPr>
        <w:t xml:space="preserve"> Projec</w:t>
      </w:r>
      <w:r>
        <w:rPr>
          <w:rFonts w:hint="default"/>
          <w:b/>
          <w:sz w:val="28"/>
          <w:szCs w:val="28"/>
          <w:lang w:val="en-US"/>
        </w:rPr>
        <w:t>t- I</w:t>
      </w:r>
      <w:r>
        <w:rPr>
          <w:rFonts w:ascii="Times New Roman" w:hAnsi="Times New Roman"/>
          <w:b/>
          <w:sz w:val="28"/>
          <w:szCs w:val="28"/>
        </w:rPr>
        <w:t xml:space="preserve"> Report</w:t>
      </w:r>
    </w:p>
    <w:p w14:paraId="62EB8601">
      <w:pPr>
        <w:spacing w:after="240"/>
        <w:jc w:val="center"/>
      </w:pPr>
      <w:r>
        <w:rPr>
          <w:rFonts w:ascii="Times New Roman" w:hAnsi="Times New Roman"/>
          <w:b w:val="0"/>
          <w:sz w:val="24"/>
        </w:rPr>
        <w:t>Submitted in partial fulfillment of the requirements for the degree of</w:t>
      </w:r>
    </w:p>
    <w:p w14:paraId="59AC3C42">
      <w:pPr>
        <w:spacing w:after="60"/>
        <w:jc w:val="center"/>
        <w:rPr>
          <w:sz w:val="24"/>
          <w:szCs w:val="24"/>
        </w:rPr>
      </w:pPr>
      <w:r>
        <w:rPr>
          <w:rFonts w:ascii="Times New Roman" w:hAnsi="Times New Roman"/>
          <w:b/>
          <w:sz w:val="24"/>
          <w:szCs w:val="24"/>
        </w:rPr>
        <w:t>BACHELOR OF TECHNOLOGY</w:t>
      </w:r>
    </w:p>
    <w:p w14:paraId="1EB2AF19">
      <w:pPr>
        <w:spacing w:after="60"/>
        <w:jc w:val="center"/>
        <w:rPr>
          <w:sz w:val="24"/>
          <w:szCs w:val="24"/>
        </w:rPr>
      </w:pPr>
      <w:r>
        <w:rPr>
          <w:rFonts w:ascii="Times New Roman" w:hAnsi="Times New Roman"/>
          <w:b w:val="0"/>
          <w:sz w:val="24"/>
          <w:szCs w:val="24"/>
        </w:rPr>
        <w:t>in</w:t>
      </w:r>
    </w:p>
    <w:p w14:paraId="7004C46A">
      <w:pPr>
        <w:spacing w:after="360"/>
        <w:jc w:val="center"/>
        <w:rPr>
          <w:sz w:val="24"/>
          <w:szCs w:val="24"/>
        </w:rPr>
      </w:pPr>
      <w:r>
        <w:rPr>
          <w:rFonts w:ascii="Times New Roman" w:hAnsi="Times New Roman"/>
          <w:b/>
          <w:sz w:val="24"/>
          <w:szCs w:val="24"/>
        </w:rPr>
        <w:t>[DEPARTMENT / PROGRAMME]</w:t>
      </w:r>
      <w:bookmarkStart w:id="0" w:name="_GoBack"/>
      <w:bookmarkEnd w:id="0"/>
    </w:p>
    <w:p w14:paraId="02F4D348">
      <w:pPr>
        <w:spacing w:after="100"/>
        <w:jc w:val="center"/>
        <w:rPr>
          <w:sz w:val="24"/>
          <w:szCs w:val="24"/>
        </w:rPr>
      </w:pPr>
      <w:r>
        <w:rPr>
          <w:rFonts w:ascii="Times New Roman" w:hAnsi="Times New Roman"/>
          <w:b/>
          <w:sz w:val="24"/>
          <w:szCs w:val="24"/>
        </w:rPr>
        <w:t>Submitted By:</w:t>
      </w:r>
    </w:p>
    <w:p w14:paraId="45262D13">
      <w:pPr>
        <w:spacing w:after="40"/>
        <w:jc w:val="center"/>
        <w:rPr>
          <w:sz w:val="24"/>
          <w:szCs w:val="24"/>
        </w:rPr>
      </w:pPr>
      <w:r>
        <w:rPr>
          <w:rFonts w:ascii="Times New Roman" w:hAnsi="Times New Roman"/>
          <w:b/>
          <w:sz w:val="24"/>
          <w:szCs w:val="24"/>
        </w:rPr>
        <w:t>Suraj Dohar</w:t>
      </w:r>
    </w:p>
    <w:p w14:paraId="7B7720C2">
      <w:pPr>
        <w:spacing w:after="360"/>
        <w:jc w:val="center"/>
      </w:pPr>
      <w:r>
        <w:rPr>
          <w:rFonts w:ascii="Times New Roman" w:hAnsi="Times New Roman"/>
          <w:b w:val="0"/>
          <w:sz w:val="24"/>
        </w:rPr>
        <w:t>Enrollment Number: ______________________________</w:t>
      </w:r>
    </w:p>
    <w:p w14:paraId="2D6D3233">
      <w:pPr>
        <w:spacing w:after="100"/>
        <w:jc w:val="center"/>
      </w:pPr>
      <w:r>
        <w:rPr>
          <w:rFonts w:ascii="Times New Roman" w:hAnsi="Times New Roman"/>
          <w:b/>
          <w:sz w:val="24"/>
        </w:rPr>
        <w:t>UNDER THE SUPERVISION OF</w:t>
      </w:r>
    </w:p>
    <w:p w14:paraId="5A07EF40">
      <w:pPr>
        <w:spacing w:after="40"/>
        <w:jc w:val="center"/>
      </w:pPr>
      <w:r>
        <w:rPr>
          <w:rFonts w:ascii="Times New Roman" w:hAnsi="Times New Roman"/>
          <w:b/>
          <w:sz w:val="26"/>
        </w:rPr>
        <w:t>[SUPERVISOR NAME]</w:t>
      </w:r>
    </w:p>
    <w:p w14:paraId="4FB88A2D">
      <w:pPr>
        <w:spacing w:after="40"/>
        <w:jc w:val="center"/>
      </w:pPr>
      <w:r>
        <w:rPr>
          <w:rFonts w:ascii="Times New Roman" w:hAnsi="Times New Roman"/>
          <w:b w:val="0"/>
          <w:sz w:val="24"/>
        </w:rPr>
        <w:t>[Designation / Department]</w:t>
      </w:r>
    </w:p>
    <w:p w14:paraId="641000F0">
      <w:pPr>
        <w:spacing w:after="400"/>
        <w:jc w:val="center"/>
      </w:pPr>
      <w:r>
        <w:rPr>
          <w:rFonts w:ascii="Times New Roman" w:hAnsi="Times New Roman"/>
          <w:b w:val="0"/>
          <w:sz w:val="24"/>
        </w:rPr>
        <w:t>[INSTITUTE / UNIVERSITY]</w:t>
      </w:r>
    </w:p>
    <w:p w14:paraId="67C9CD4E">
      <w:pPr>
        <w:spacing w:after="80"/>
        <w:jc w:val="center"/>
      </w:pPr>
      <w:r>
        <w:rPr>
          <w:rFonts w:ascii="Times New Roman" w:hAnsi="Times New Roman"/>
          <w:b/>
          <w:sz w:val="24"/>
        </w:rPr>
        <w:t>Academic Session: ____________________</w:t>
      </w:r>
    </w:p>
    <w:p w14:paraId="5F256AFB">
      <w:pPr>
        <w:spacing w:after="40"/>
        <w:jc w:val="center"/>
      </w:pPr>
      <w:r>
        <w:rPr>
          <w:rFonts w:ascii="Times New Roman" w:hAnsi="Times New Roman"/>
          <w:b w:val="0"/>
          <w:sz w:val="24"/>
        </w:rPr>
        <w:t>Submission Date: ____________________</w:t>
      </w:r>
    </w:p>
    <w:p w14:paraId="25B51F64">
      <w:r>
        <w:br w:type="page"/>
      </w:r>
    </w:p>
    <w:p w14:paraId="6FF0B695">
      <w:pPr>
        <w:pStyle w:val="2"/>
      </w:pPr>
      <w: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6"/>
        <w:gridCol w:w="1152"/>
      </w:tblGrid>
      <w:tr w14:paraId="49B7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96" w:type="dxa"/>
            <w:shd w:val="clear" w:color="auto" w:fill="173A31"/>
            <w:vAlign w:val="center"/>
          </w:tcPr>
          <w:p w14:paraId="6BFA4D77">
            <w:pPr>
              <w:spacing w:before="40" w:after="40"/>
              <w:jc w:val="center"/>
            </w:pPr>
            <w:r>
              <w:rPr>
                <w:rFonts w:ascii="Times New Roman" w:hAnsi="Times New Roman"/>
                <w:b/>
                <w:color w:val="FFFFFF"/>
                <w:sz w:val="20"/>
              </w:rPr>
              <w:t>Section</w:t>
            </w:r>
          </w:p>
        </w:tc>
        <w:tc>
          <w:tcPr>
            <w:tcW w:w="1152" w:type="dxa"/>
            <w:shd w:val="clear" w:color="auto" w:fill="173A31"/>
            <w:vAlign w:val="center"/>
          </w:tcPr>
          <w:p w14:paraId="16D93D0A">
            <w:pPr>
              <w:spacing w:before="40" w:after="40"/>
              <w:jc w:val="center"/>
            </w:pPr>
            <w:r>
              <w:rPr>
                <w:rFonts w:ascii="Times New Roman" w:hAnsi="Times New Roman"/>
                <w:b/>
                <w:color w:val="FFFFFF"/>
                <w:sz w:val="20"/>
              </w:rPr>
              <w:t>Page</w:t>
            </w:r>
          </w:p>
        </w:tc>
      </w:tr>
      <w:tr w14:paraId="51CA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4F7F1"/>
            <w:vAlign w:val="center"/>
          </w:tcPr>
          <w:p w14:paraId="79B3E5FB">
            <w:pPr>
              <w:spacing w:before="40" w:after="40"/>
            </w:pPr>
            <w:r>
              <w:rPr>
                <w:rFonts w:ascii="Times New Roman" w:hAnsi="Times New Roman"/>
                <w:b w:val="0"/>
                <w:sz w:val="20"/>
              </w:rPr>
              <w:t>Declaration by the Candidate</w:t>
            </w:r>
          </w:p>
        </w:tc>
        <w:tc>
          <w:tcPr>
            <w:tcW w:w="1152" w:type="dxa"/>
            <w:shd w:val="clear" w:color="auto" w:fill="F4F7F1"/>
            <w:vAlign w:val="center"/>
          </w:tcPr>
          <w:p w14:paraId="4E891CA8">
            <w:pPr>
              <w:spacing w:before="40" w:after="40"/>
            </w:pPr>
          </w:p>
        </w:tc>
      </w:tr>
      <w:tr w14:paraId="39FE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5DE75684">
            <w:pPr>
              <w:spacing w:before="40" w:after="40"/>
            </w:pPr>
            <w:r>
              <w:rPr>
                <w:rFonts w:ascii="Times New Roman" w:hAnsi="Times New Roman"/>
                <w:b w:val="0"/>
                <w:sz w:val="20"/>
              </w:rPr>
              <w:t>Plagiarism Check Certificate</w:t>
            </w:r>
          </w:p>
        </w:tc>
        <w:tc>
          <w:tcPr>
            <w:tcW w:w="1152" w:type="dxa"/>
            <w:vAlign w:val="center"/>
          </w:tcPr>
          <w:p w14:paraId="2F9E5971">
            <w:pPr>
              <w:spacing w:before="40" w:after="40"/>
            </w:pPr>
          </w:p>
        </w:tc>
      </w:tr>
      <w:tr w14:paraId="05D2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4F7F1"/>
            <w:vAlign w:val="center"/>
          </w:tcPr>
          <w:p w14:paraId="58C5DD52">
            <w:pPr>
              <w:spacing w:before="40" w:after="40"/>
            </w:pPr>
            <w:r>
              <w:rPr>
                <w:rFonts w:ascii="Times New Roman" w:hAnsi="Times New Roman"/>
                <w:b w:val="0"/>
                <w:sz w:val="20"/>
              </w:rPr>
              <w:t>Acknowledgement</w:t>
            </w:r>
          </w:p>
        </w:tc>
        <w:tc>
          <w:tcPr>
            <w:tcW w:w="1152" w:type="dxa"/>
            <w:shd w:val="clear" w:color="auto" w:fill="F4F7F1"/>
            <w:vAlign w:val="center"/>
          </w:tcPr>
          <w:p w14:paraId="45DA2BE7">
            <w:pPr>
              <w:spacing w:before="40" w:after="40"/>
            </w:pPr>
          </w:p>
        </w:tc>
      </w:tr>
      <w:tr w14:paraId="2EB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77B33597">
            <w:pPr>
              <w:spacing w:before="40" w:after="40"/>
            </w:pPr>
            <w:r>
              <w:rPr>
                <w:rFonts w:ascii="Times New Roman" w:hAnsi="Times New Roman"/>
                <w:b w:val="0"/>
                <w:sz w:val="20"/>
              </w:rPr>
              <w:t>Abstract</w:t>
            </w:r>
          </w:p>
        </w:tc>
        <w:tc>
          <w:tcPr>
            <w:tcW w:w="1152" w:type="dxa"/>
            <w:vAlign w:val="center"/>
          </w:tcPr>
          <w:p w14:paraId="30113D02">
            <w:pPr>
              <w:spacing w:before="40" w:after="40"/>
            </w:pPr>
          </w:p>
        </w:tc>
      </w:tr>
      <w:tr w14:paraId="400A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4F7F1"/>
            <w:vAlign w:val="center"/>
          </w:tcPr>
          <w:p w14:paraId="4E86B94D">
            <w:pPr>
              <w:spacing w:before="40" w:after="40"/>
            </w:pPr>
            <w:r>
              <w:rPr>
                <w:rFonts w:ascii="Times New Roman" w:hAnsi="Times New Roman"/>
                <w:b w:val="0"/>
                <w:sz w:val="20"/>
              </w:rPr>
              <w:t>Acronyms</w:t>
            </w:r>
          </w:p>
        </w:tc>
        <w:tc>
          <w:tcPr>
            <w:tcW w:w="1152" w:type="dxa"/>
            <w:shd w:val="clear" w:color="auto" w:fill="F4F7F1"/>
            <w:vAlign w:val="center"/>
          </w:tcPr>
          <w:p w14:paraId="2D3AC9EC">
            <w:pPr>
              <w:spacing w:before="40" w:after="40"/>
            </w:pPr>
          </w:p>
        </w:tc>
      </w:tr>
      <w:tr w14:paraId="6AB7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496F2E58">
            <w:pPr>
              <w:spacing w:before="40" w:after="40"/>
            </w:pPr>
            <w:r>
              <w:rPr>
                <w:rFonts w:ascii="Times New Roman" w:hAnsi="Times New Roman"/>
                <w:b w:val="0"/>
                <w:sz w:val="20"/>
              </w:rPr>
              <w:t>List of Figures</w:t>
            </w:r>
          </w:p>
        </w:tc>
        <w:tc>
          <w:tcPr>
            <w:tcW w:w="1152" w:type="dxa"/>
            <w:vAlign w:val="center"/>
          </w:tcPr>
          <w:p w14:paraId="24FE7F66">
            <w:pPr>
              <w:spacing w:before="40" w:after="40"/>
            </w:pPr>
          </w:p>
        </w:tc>
      </w:tr>
      <w:tr w14:paraId="1767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4F7F1"/>
            <w:vAlign w:val="center"/>
          </w:tcPr>
          <w:p w14:paraId="653D13A3">
            <w:pPr>
              <w:spacing w:before="40" w:after="40"/>
            </w:pPr>
            <w:r>
              <w:rPr>
                <w:rFonts w:ascii="Times New Roman" w:hAnsi="Times New Roman"/>
                <w:b w:val="0"/>
                <w:sz w:val="20"/>
              </w:rPr>
              <w:t>List of Tables</w:t>
            </w:r>
          </w:p>
        </w:tc>
        <w:tc>
          <w:tcPr>
            <w:tcW w:w="1152" w:type="dxa"/>
            <w:shd w:val="clear" w:color="auto" w:fill="F4F7F1"/>
            <w:vAlign w:val="center"/>
          </w:tcPr>
          <w:p w14:paraId="1A178DEF">
            <w:pPr>
              <w:spacing w:before="40" w:after="40"/>
            </w:pPr>
          </w:p>
        </w:tc>
      </w:tr>
      <w:tr w14:paraId="04BB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7845B1C2">
            <w:pPr>
              <w:spacing w:before="40" w:after="40"/>
            </w:pPr>
            <w:r>
              <w:rPr>
                <w:rFonts w:ascii="Times New Roman" w:hAnsi="Times New Roman"/>
                <w:b w:val="0"/>
                <w:sz w:val="20"/>
              </w:rPr>
              <w:t>Nomenclature</w:t>
            </w:r>
          </w:p>
        </w:tc>
        <w:tc>
          <w:tcPr>
            <w:tcW w:w="1152" w:type="dxa"/>
            <w:vAlign w:val="center"/>
          </w:tcPr>
          <w:p w14:paraId="49980DA8">
            <w:pPr>
              <w:spacing w:before="40" w:after="40"/>
            </w:pPr>
          </w:p>
        </w:tc>
      </w:tr>
      <w:tr w14:paraId="787F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4F7F1"/>
            <w:vAlign w:val="center"/>
          </w:tcPr>
          <w:p w14:paraId="48F464A9">
            <w:pPr>
              <w:spacing w:before="40" w:after="40"/>
            </w:pPr>
            <w:r>
              <w:rPr>
                <w:rFonts w:ascii="Times New Roman" w:hAnsi="Times New Roman"/>
                <w:b w:val="0"/>
                <w:sz w:val="20"/>
              </w:rPr>
              <w:t>Chapter 1: Introduction and Objectives</w:t>
            </w:r>
          </w:p>
        </w:tc>
        <w:tc>
          <w:tcPr>
            <w:tcW w:w="1152" w:type="dxa"/>
            <w:shd w:val="clear" w:color="auto" w:fill="F4F7F1"/>
            <w:vAlign w:val="center"/>
          </w:tcPr>
          <w:p w14:paraId="03FED309">
            <w:pPr>
              <w:spacing w:before="40" w:after="40"/>
            </w:pPr>
          </w:p>
        </w:tc>
      </w:tr>
      <w:tr w14:paraId="1714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25F04AEC">
            <w:pPr>
              <w:spacing w:before="40" w:after="40"/>
            </w:pPr>
            <w:r>
              <w:rPr>
                <w:rFonts w:ascii="Times New Roman" w:hAnsi="Times New Roman"/>
                <w:b w:val="0"/>
                <w:sz w:val="20"/>
              </w:rPr>
              <w:t>Chapter 2: Methodology and Design</w:t>
            </w:r>
          </w:p>
        </w:tc>
        <w:tc>
          <w:tcPr>
            <w:tcW w:w="1152" w:type="dxa"/>
            <w:vAlign w:val="center"/>
          </w:tcPr>
          <w:p w14:paraId="4DA039DB">
            <w:pPr>
              <w:spacing w:before="40" w:after="40"/>
            </w:pPr>
          </w:p>
        </w:tc>
      </w:tr>
      <w:tr w14:paraId="2355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4F7F1"/>
            <w:vAlign w:val="center"/>
          </w:tcPr>
          <w:p w14:paraId="5802D7B2">
            <w:pPr>
              <w:spacing w:before="40" w:after="40"/>
            </w:pPr>
            <w:r>
              <w:rPr>
                <w:rFonts w:ascii="Times New Roman" w:hAnsi="Times New Roman"/>
                <w:b w:val="0"/>
                <w:sz w:val="20"/>
              </w:rPr>
              <w:t>Chapter 3: System Flowchart</w:t>
            </w:r>
          </w:p>
        </w:tc>
        <w:tc>
          <w:tcPr>
            <w:tcW w:w="1152" w:type="dxa"/>
            <w:shd w:val="clear" w:color="auto" w:fill="F4F7F1"/>
            <w:vAlign w:val="center"/>
          </w:tcPr>
          <w:p w14:paraId="735FA78C">
            <w:pPr>
              <w:spacing w:before="40" w:after="40"/>
            </w:pPr>
          </w:p>
        </w:tc>
      </w:tr>
      <w:tr w14:paraId="1BB9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5FDD80E2">
            <w:pPr>
              <w:spacing w:before="40" w:after="40"/>
            </w:pPr>
            <w:r>
              <w:rPr>
                <w:rFonts w:ascii="Times New Roman" w:hAnsi="Times New Roman"/>
                <w:b w:val="0"/>
                <w:sz w:val="20"/>
              </w:rPr>
              <w:t>Chapter 4: Results and Discussion</w:t>
            </w:r>
          </w:p>
        </w:tc>
        <w:tc>
          <w:tcPr>
            <w:tcW w:w="1152" w:type="dxa"/>
            <w:vAlign w:val="center"/>
          </w:tcPr>
          <w:p w14:paraId="03CC2BF6">
            <w:pPr>
              <w:spacing w:before="40" w:after="40"/>
            </w:pPr>
          </w:p>
        </w:tc>
      </w:tr>
      <w:tr w14:paraId="0AC2D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4F7F1"/>
            <w:vAlign w:val="center"/>
          </w:tcPr>
          <w:p w14:paraId="744471D0">
            <w:pPr>
              <w:spacing w:before="40" w:after="40"/>
            </w:pPr>
            <w:r>
              <w:rPr>
                <w:rFonts w:ascii="Times New Roman" w:hAnsi="Times New Roman"/>
                <w:b w:val="0"/>
                <w:sz w:val="20"/>
              </w:rPr>
              <w:t>Conclusion</w:t>
            </w:r>
          </w:p>
        </w:tc>
        <w:tc>
          <w:tcPr>
            <w:tcW w:w="1152" w:type="dxa"/>
            <w:shd w:val="clear" w:color="auto" w:fill="F4F7F1"/>
            <w:vAlign w:val="center"/>
          </w:tcPr>
          <w:p w14:paraId="11FC907E">
            <w:pPr>
              <w:spacing w:before="40" w:after="40"/>
            </w:pPr>
          </w:p>
        </w:tc>
      </w:tr>
      <w:tr w14:paraId="1976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6A12D312">
            <w:pPr>
              <w:spacing w:before="40" w:after="40"/>
            </w:pPr>
            <w:r>
              <w:rPr>
                <w:rFonts w:ascii="Times New Roman" w:hAnsi="Times New Roman"/>
                <w:b w:val="0"/>
                <w:sz w:val="20"/>
              </w:rPr>
              <w:t>Future Scope</w:t>
            </w:r>
          </w:p>
        </w:tc>
        <w:tc>
          <w:tcPr>
            <w:tcW w:w="1152" w:type="dxa"/>
            <w:vAlign w:val="center"/>
          </w:tcPr>
          <w:p w14:paraId="73AC8AF7">
            <w:pPr>
              <w:spacing w:before="40" w:after="40"/>
            </w:pPr>
          </w:p>
        </w:tc>
      </w:tr>
      <w:tr w14:paraId="2931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4F7F1"/>
            <w:vAlign w:val="center"/>
          </w:tcPr>
          <w:p w14:paraId="3BA18A2A">
            <w:pPr>
              <w:spacing w:before="40" w:after="40"/>
            </w:pPr>
            <w:r>
              <w:rPr>
                <w:rFonts w:ascii="Times New Roman" w:hAnsi="Times New Roman"/>
                <w:b w:val="0"/>
                <w:sz w:val="20"/>
              </w:rPr>
              <w:t>References</w:t>
            </w:r>
          </w:p>
        </w:tc>
        <w:tc>
          <w:tcPr>
            <w:tcW w:w="1152" w:type="dxa"/>
            <w:shd w:val="clear" w:color="auto" w:fill="F4F7F1"/>
            <w:vAlign w:val="center"/>
          </w:tcPr>
          <w:p w14:paraId="49F638B1">
            <w:pPr>
              <w:spacing w:before="40" w:after="40"/>
            </w:pPr>
          </w:p>
        </w:tc>
      </w:tr>
    </w:tbl>
    <w:p w14:paraId="20AC64D1">
      <w:pPr>
        <w:spacing w:after="20"/>
      </w:pPr>
    </w:p>
    <w:p w14:paraId="27B88CA6">
      <w:pPr>
        <w:widowControl/>
        <w:jc w:val="both"/>
      </w:pPr>
      <w:r>
        <w:rPr>
          <w:i/>
        </w:rPr>
        <w:t>Page numbers may be inserted after final formatting in the word processor.</w:t>
      </w:r>
    </w:p>
    <w:p w14:paraId="2FDAF0D4">
      <w:r>
        <w:br w:type="page"/>
      </w:r>
    </w:p>
    <w:p w14:paraId="227A7CD3">
      <w:pPr>
        <w:pStyle w:val="2"/>
      </w:pPr>
      <w:r>
        <w:t>DECLARATION</w:t>
      </w:r>
    </w:p>
    <w:p w14:paraId="57F7397A">
      <w:pPr>
        <w:widowControl/>
        <w:jc w:val="both"/>
      </w:pPr>
      <w:r>
        <w:rPr>
          <w:i w:val="0"/>
        </w:rPr>
        <w:t>I declare that the project report entitled ?COMMONROOM: END-TO-END ENCRYPTED CHAT SYSTEM? has been prepared by me as a record of the project work undertaken for the stated academic programme. The description of the system is based on the project source code and its documentation available at the time of writing.</w:t>
      </w:r>
    </w:p>
    <w:p w14:paraId="2EBFEBFF">
      <w:pPr>
        <w:widowControl/>
        <w:jc w:val="both"/>
      </w:pPr>
      <w:r>
        <w:rPr>
          <w:i w:val="0"/>
        </w:rPr>
        <w:t>I further declare that this report has not been submitted, in whole or in part, to any other institute or university for the award of a degree or diploma. Any external standards, technical references, and documentation used are cited in the References section.</w:t>
      </w:r>
    </w:p>
    <w:p w14:paraId="06B080A0">
      <w:pPr>
        <w:widowControl/>
        <w:jc w:val="left"/>
      </w:pPr>
      <w:r>
        <w:rPr>
          <w:i w:val="0"/>
        </w:rPr>
        <w:br w:type="textWrapping"/>
      </w:r>
      <w:r>
        <w:rPr>
          <w:i w:val="0"/>
        </w:rPr>
        <w:br w:type="textWrapping"/>
      </w:r>
      <w:r>
        <w:rPr>
          <w:i w:val="0"/>
        </w:rPr>
        <w:t>Submitted by: Suraj Dohar</w:t>
      </w:r>
      <w:r>
        <w:rPr>
          <w:i w:val="0"/>
        </w:rPr>
        <w:br w:type="textWrapping"/>
      </w:r>
      <w:r>
        <w:rPr>
          <w:i w:val="0"/>
        </w:rPr>
        <w:t>Enrollment Number: ______________________________</w:t>
      </w:r>
      <w:r>
        <w:rPr>
          <w:i w:val="0"/>
        </w:rPr>
        <w:br w:type="textWrapping"/>
      </w:r>
      <w:r>
        <w:rPr>
          <w:i w:val="0"/>
        </w:rPr>
        <w:t>Date: ____________________</w:t>
      </w:r>
      <w:r>
        <w:rPr>
          <w:i w:val="0"/>
        </w:rPr>
        <w:br w:type="textWrapping"/>
      </w:r>
      <w:r>
        <w:rPr>
          <w:i w:val="0"/>
        </w:rPr>
        <w:t>Place: ____________________</w:t>
      </w:r>
    </w:p>
    <w:p w14:paraId="10FED859">
      <w:pPr>
        <w:widowControl/>
        <w:jc w:val="left"/>
      </w:pPr>
      <w:r>
        <w:rPr>
          <w:i w:val="0"/>
        </w:rPr>
        <w:br w:type="textWrapping"/>
      </w:r>
      <w:r>
        <w:rPr>
          <w:i w:val="0"/>
        </w:rPr>
        <w:t>Certified by (Supervisor): ______________________________</w:t>
      </w:r>
      <w:r>
        <w:rPr>
          <w:i w:val="0"/>
        </w:rPr>
        <w:br w:type="textWrapping"/>
      </w:r>
      <w:r>
        <w:rPr>
          <w:i w:val="0"/>
        </w:rPr>
        <w:t>Name and Designation: ______________________________</w:t>
      </w:r>
      <w:r>
        <w:rPr>
          <w:i w:val="0"/>
        </w:rPr>
        <w:br w:type="textWrapping"/>
      </w:r>
      <w:r>
        <w:rPr>
          <w:i w:val="0"/>
        </w:rPr>
        <w:t>Institute: ______________________________</w:t>
      </w:r>
    </w:p>
    <w:p w14:paraId="7C9050AC">
      <w:r>
        <w:br w:type="page"/>
      </w:r>
    </w:p>
    <w:p w14:paraId="268B5537">
      <w:pPr>
        <w:pStyle w:val="2"/>
      </w:pPr>
      <w:r>
        <w:t>PLAGIARISM CHECK CERTIFICATE</w:t>
      </w:r>
    </w:p>
    <w:p w14:paraId="21DBD8F2">
      <w:pPr>
        <w:widowControl/>
        <w:jc w:val="both"/>
      </w:pPr>
      <w:r>
        <w:rPr>
          <w:i w:val="0"/>
        </w:rPr>
        <w:t>This section is provided for completion after the report entitled ?COMMONROOM: END-TO-END ENCRYPTED CHAT SYSTEM? has been checked using the plagiarism-checking process approved by the institute. No similarity or AI-writing percentage is asserted in this document.</w:t>
      </w:r>
    </w:p>
    <w:p w14:paraId="68DF8DAA">
      <w:pPr>
        <w:widowControl/>
        <w:jc w:val="both"/>
      </w:pPr>
      <w:r>
        <w:rPr>
          <w:i w:val="0"/>
        </w:rPr>
        <w:t>Similarity percentage: ____________     AI-writing percentage (if required): ____________</w:t>
      </w:r>
    </w:p>
    <w:p w14:paraId="38E444C0">
      <w:pPr>
        <w:widowControl/>
        <w:jc w:val="both"/>
      </w:pPr>
      <w:r>
        <w:rPr>
          <w:i w:val="0"/>
        </w:rPr>
        <w:t>Attach the official report and summary here after completing the institute-approved check.</w:t>
      </w:r>
    </w:p>
    <w:p w14:paraId="218363D3">
      <w:pPr>
        <w:widowControl/>
        <w:jc w:val="left"/>
      </w:pPr>
      <w:r>
        <w:rPr>
          <w:i w:val="0"/>
        </w:rPr>
        <w:br w:type="textWrapping"/>
      </w:r>
      <w:r>
        <w:rPr>
          <w:i w:val="0"/>
        </w:rPr>
        <w:t>Submitted by: Suraj Dohar</w:t>
      </w:r>
      <w:r>
        <w:rPr>
          <w:i w:val="0"/>
        </w:rPr>
        <w:br w:type="textWrapping"/>
      </w:r>
      <w:r>
        <w:rPr>
          <w:i w:val="0"/>
        </w:rPr>
        <w:t>Enrollment Number: ______________________________</w:t>
      </w:r>
    </w:p>
    <w:p w14:paraId="61192503">
      <w:pPr>
        <w:widowControl/>
        <w:jc w:val="left"/>
      </w:pPr>
      <w:r>
        <w:rPr>
          <w:i w:val="0"/>
        </w:rPr>
        <w:br w:type="textWrapping"/>
      </w:r>
      <w:r>
        <w:rPr>
          <w:i w:val="0"/>
        </w:rPr>
        <w:t>Checked and approved by: ______________________________</w:t>
      </w:r>
      <w:r>
        <w:rPr>
          <w:i w:val="0"/>
        </w:rPr>
        <w:br w:type="textWrapping"/>
      </w:r>
      <w:r>
        <w:rPr>
          <w:i w:val="0"/>
        </w:rPr>
        <w:t>Name / Designation: ______________________________</w:t>
      </w:r>
      <w:r>
        <w:rPr>
          <w:i w:val="0"/>
        </w:rPr>
        <w:br w:type="textWrapping"/>
      </w:r>
      <w:r>
        <w:rPr>
          <w:i w:val="0"/>
        </w:rPr>
        <w:t>Department / Institute: ______________________________</w:t>
      </w:r>
      <w:r>
        <w:rPr>
          <w:i w:val="0"/>
        </w:rPr>
        <w:br w:type="textWrapping"/>
      </w:r>
      <w:r>
        <w:rPr>
          <w:i w:val="0"/>
        </w:rPr>
        <w:t>Date: ____________________</w:t>
      </w:r>
    </w:p>
    <w:p w14:paraId="313F60BF">
      <w:r>
        <w:br w:type="page"/>
      </w:r>
    </w:p>
    <w:p w14:paraId="5D36A389">
      <w:pPr>
        <w:pStyle w:val="2"/>
      </w:pPr>
      <w:r>
        <w:t>ACKNOWLEDGEMENT</w:t>
      </w:r>
    </w:p>
    <w:p w14:paraId="2BCAB0BF">
      <w:pPr>
        <w:widowControl/>
        <w:jc w:val="both"/>
      </w:pPr>
      <w:r>
        <w:rPr>
          <w:i w:val="0"/>
        </w:rPr>
        <w:t>I would like to express my gratitude to [Institute / University] for providing the academic environment in which this micro project was completed. I sincerely thank [Supervisor Name and Designation] for guidance, feedback, and support during the project. I also appreciate the assistance of faculty members, classmates, and everyone who provided suggestions while the application and this report were being prepared.</w:t>
      </w:r>
    </w:p>
    <w:p w14:paraId="01C53429">
      <w:pPr>
        <w:widowControl/>
        <w:jc w:val="both"/>
      </w:pPr>
      <w:r>
        <w:rPr>
          <w:i w:val="0"/>
        </w:rPr>
        <w:t>This acknowledgement is intentionally left editable so that the student can add only the individuals and institutions who actually contributed.</w:t>
      </w:r>
    </w:p>
    <w:p w14:paraId="21B6414F">
      <w:pPr>
        <w:widowControl/>
        <w:jc w:val="right"/>
      </w:pPr>
      <w:r>
        <w:rPr>
          <w:i w:val="0"/>
        </w:rPr>
        <w:br w:type="textWrapping"/>
      </w:r>
      <w:r>
        <w:rPr>
          <w:i w:val="0"/>
        </w:rPr>
        <w:br w:type="textWrapping"/>
      </w:r>
      <w:r>
        <w:rPr>
          <w:i w:val="0"/>
        </w:rPr>
        <w:t>Suraj Dohar</w:t>
      </w:r>
      <w:r>
        <w:rPr>
          <w:i w:val="0"/>
        </w:rPr>
        <w:br w:type="textWrapping"/>
      </w:r>
      <w:r>
        <w:rPr>
          <w:i w:val="0"/>
        </w:rPr>
        <w:t>Enrollment Number: ______________________________</w:t>
      </w:r>
    </w:p>
    <w:p w14:paraId="66C5B519">
      <w:r>
        <w:br w:type="page"/>
      </w:r>
    </w:p>
    <w:p w14:paraId="568CF715">
      <w:pPr>
        <w:pStyle w:val="2"/>
      </w:pPr>
      <w:r>
        <w:t>ABSTRACT</w:t>
      </w:r>
    </w:p>
    <w:p w14:paraId="698E1342">
      <w:pPr>
        <w:widowControl/>
        <w:jc w:val="both"/>
      </w:pPr>
      <w:r>
        <w:rPr>
          <w:i w:val="0"/>
        </w:rPr>
        <w:t>Commonroom is a browser-based private messaging system that supports direct and group conversations, encrypted text and emoji messages, and encrypted image sharing. A user creates an account and shares an eight-character chat ID to establish a conversation. The web interface uses the browser Web Crypto API to encrypt message content before it is sent to the server.</w:t>
      </w:r>
    </w:p>
    <w:p w14:paraId="3DA3FEDC">
      <w:pPr>
        <w:widowControl/>
        <w:jc w:val="both"/>
      </w:pPr>
      <w:r>
        <w:rPr>
          <w:i w:val="0"/>
        </w:rPr>
        <w:t>For each message, the browser generates a fresh AES-256-GCM key and initialization vector, encrypts the payload, and wraps the AES key for each conversation member using that member?s RSA-OAEP public key. The server receives ciphertext, metadata, and key envelopes; a recipient uses their locally unlocked private key to recover the AES key and decrypt the content. Private-key backups are encrypted in the browser with a password-derived key using PBKDF2 before storage or download.</w:t>
      </w:r>
    </w:p>
    <w:p w14:paraId="2A966C8F">
      <w:pPr>
        <w:widowControl/>
        <w:jc w:val="both"/>
      </w:pPr>
      <w:r>
        <w:rPr>
          <w:i w:val="0"/>
        </w:rPr>
        <w:t>The application uses a Python Flask API for account, session, request, conversation, and message operations. SQLite stores local application records; the hosted configuration uses Render for the API, Firebase Realtime Database for cloud message persistence, and GitHub Pages for the static frontend. The project demonstrates a practical web-based end-to-end encryption workflow, while leaving formal cryptographic review, operational hardening, and deployment-specific verification as future work.</w:t>
      </w:r>
    </w:p>
    <w:p w14:paraId="2232010B">
      <w:r>
        <w:br w:type="page"/>
      </w:r>
    </w:p>
    <w:p w14:paraId="3553B1E1">
      <w:pPr>
        <w:pStyle w:val="2"/>
      </w:pPr>
      <w:r>
        <w:t>ACRONYMS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488"/>
      </w:tblGrid>
      <w:tr w14:paraId="4967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173A31"/>
            <w:vAlign w:val="center"/>
          </w:tcPr>
          <w:p w14:paraId="42D90D26">
            <w:pPr>
              <w:spacing w:before="40" w:after="40"/>
              <w:jc w:val="center"/>
            </w:pPr>
            <w:r>
              <w:rPr>
                <w:rFonts w:ascii="Times New Roman" w:hAnsi="Times New Roman"/>
                <w:b/>
                <w:color w:val="FFFFFF"/>
                <w:sz w:val="20"/>
              </w:rPr>
              <w:t>Acronym</w:t>
            </w:r>
          </w:p>
        </w:tc>
        <w:tc>
          <w:tcPr>
            <w:tcW w:w="7488" w:type="dxa"/>
            <w:shd w:val="clear" w:color="auto" w:fill="173A31"/>
            <w:vAlign w:val="center"/>
          </w:tcPr>
          <w:p w14:paraId="5A9F50E5">
            <w:pPr>
              <w:spacing w:before="40" w:after="40"/>
              <w:jc w:val="center"/>
            </w:pPr>
            <w:r>
              <w:rPr>
                <w:rFonts w:ascii="Times New Roman" w:hAnsi="Times New Roman"/>
                <w:b/>
                <w:color w:val="FFFFFF"/>
                <w:sz w:val="20"/>
              </w:rPr>
              <w:t>Meaning</w:t>
            </w:r>
          </w:p>
        </w:tc>
      </w:tr>
      <w:tr w14:paraId="727CE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0A3B9D48">
            <w:pPr>
              <w:spacing w:before="40" w:after="40"/>
            </w:pPr>
            <w:r>
              <w:rPr>
                <w:rFonts w:ascii="Times New Roman" w:hAnsi="Times New Roman"/>
                <w:b w:val="0"/>
                <w:sz w:val="20"/>
              </w:rPr>
              <w:t>AES-GCM</w:t>
            </w:r>
          </w:p>
        </w:tc>
        <w:tc>
          <w:tcPr>
            <w:tcW w:w="7488" w:type="dxa"/>
            <w:shd w:val="clear" w:color="auto" w:fill="F4F7F1"/>
            <w:vAlign w:val="center"/>
          </w:tcPr>
          <w:p w14:paraId="205AF1B5">
            <w:pPr>
              <w:spacing w:before="40" w:after="40"/>
            </w:pPr>
            <w:r>
              <w:rPr>
                <w:rFonts w:ascii="Times New Roman" w:hAnsi="Times New Roman"/>
                <w:b w:val="0"/>
                <w:sz w:val="20"/>
              </w:rPr>
              <w:t>Advanced Encryption Standard in Galois/Counter Mode</w:t>
            </w:r>
          </w:p>
        </w:tc>
      </w:tr>
      <w:tr w14:paraId="092B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B7CD9E7">
            <w:pPr>
              <w:spacing w:before="40" w:after="40"/>
            </w:pPr>
            <w:r>
              <w:rPr>
                <w:rFonts w:ascii="Times New Roman" w:hAnsi="Times New Roman"/>
                <w:b w:val="0"/>
                <w:sz w:val="20"/>
              </w:rPr>
              <w:t>API</w:t>
            </w:r>
          </w:p>
        </w:tc>
        <w:tc>
          <w:tcPr>
            <w:tcW w:w="7488" w:type="dxa"/>
            <w:vAlign w:val="center"/>
          </w:tcPr>
          <w:p w14:paraId="0935DCAE">
            <w:pPr>
              <w:spacing w:before="40" w:after="40"/>
            </w:pPr>
            <w:r>
              <w:rPr>
                <w:rFonts w:ascii="Times New Roman" w:hAnsi="Times New Roman"/>
                <w:b w:val="0"/>
                <w:sz w:val="20"/>
              </w:rPr>
              <w:t>Application Programming Interface</w:t>
            </w:r>
          </w:p>
        </w:tc>
      </w:tr>
      <w:tr w14:paraId="208B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5D80FC8E">
            <w:pPr>
              <w:spacing w:before="40" w:after="40"/>
            </w:pPr>
            <w:r>
              <w:rPr>
                <w:rFonts w:ascii="Times New Roman" w:hAnsi="Times New Roman"/>
                <w:b w:val="0"/>
                <w:sz w:val="20"/>
              </w:rPr>
              <w:t>CORS</w:t>
            </w:r>
          </w:p>
        </w:tc>
        <w:tc>
          <w:tcPr>
            <w:tcW w:w="7488" w:type="dxa"/>
            <w:shd w:val="clear" w:color="auto" w:fill="F4F7F1"/>
            <w:vAlign w:val="center"/>
          </w:tcPr>
          <w:p w14:paraId="4FBC8DB2">
            <w:pPr>
              <w:spacing w:before="40" w:after="40"/>
            </w:pPr>
            <w:r>
              <w:rPr>
                <w:rFonts w:ascii="Times New Roman" w:hAnsi="Times New Roman"/>
                <w:b w:val="0"/>
                <w:sz w:val="20"/>
              </w:rPr>
              <w:t>Cross-Origin Resource Sharing</w:t>
            </w:r>
          </w:p>
        </w:tc>
      </w:tr>
      <w:tr w14:paraId="1013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9314860">
            <w:pPr>
              <w:spacing w:before="40" w:after="40"/>
            </w:pPr>
            <w:r>
              <w:rPr>
                <w:rFonts w:ascii="Times New Roman" w:hAnsi="Times New Roman"/>
                <w:b w:val="0"/>
                <w:sz w:val="20"/>
              </w:rPr>
              <w:t>E2EE</w:t>
            </w:r>
          </w:p>
        </w:tc>
        <w:tc>
          <w:tcPr>
            <w:tcW w:w="7488" w:type="dxa"/>
            <w:vAlign w:val="center"/>
          </w:tcPr>
          <w:p w14:paraId="1A6A901B">
            <w:pPr>
              <w:spacing w:before="40" w:after="40"/>
            </w:pPr>
            <w:r>
              <w:rPr>
                <w:rFonts w:ascii="Times New Roman" w:hAnsi="Times New Roman"/>
                <w:b w:val="0"/>
                <w:sz w:val="20"/>
              </w:rPr>
              <w:t>End-to-End Encryption</w:t>
            </w:r>
          </w:p>
        </w:tc>
      </w:tr>
      <w:tr w14:paraId="3256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0DDCD1F3">
            <w:pPr>
              <w:spacing w:before="40" w:after="40"/>
            </w:pPr>
            <w:r>
              <w:rPr>
                <w:rFonts w:ascii="Times New Roman" w:hAnsi="Times New Roman"/>
                <w:b w:val="0"/>
                <w:sz w:val="20"/>
              </w:rPr>
              <w:t>Firebase RTDB</w:t>
            </w:r>
          </w:p>
        </w:tc>
        <w:tc>
          <w:tcPr>
            <w:tcW w:w="7488" w:type="dxa"/>
            <w:shd w:val="clear" w:color="auto" w:fill="F4F7F1"/>
            <w:vAlign w:val="center"/>
          </w:tcPr>
          <w:p w14:paraId="67AF25D0">
            <w:pPr>
              <w:spacing w:before="40" w:after="40"/>
            </w:pPr>
            <w:r>
              <w:rPr>
                <w:rFonts w:ascii="Times New Roman" w:hAnsi="Times New Roman"/>
                <w:b w:val="0"/>
                <w:sz w:val="20"/>
              </w:rPr>
              <w:t>Firebase Realtime Database</w:t>
            </w:r>
          </w:p>
        </w:tc>
      </w:tr>
      <w:tr w14:paraId="7950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4B2DEA3">
            <w:pPr>
              <w:spacing w:before="40" w:after="40"/>
            </w:pPr>
            <w:r>
              <w:rPr>
                <w:rFonts w:ascii="Times New Roman" w:hAnsi="Times New Roman"/>
                <w:b w:val="0"/>
                <w:sz w:val="20"/>
              </w:rPr>
              <w:t>HTTPS</w:t>
            </w:r>
          </w:p>
        </w:tc>
        <w:tc>
          <w:tcPr>
            <w:tcW w:w="7488" w:type="dxa"/>
            <w:vAlign w:val="center"/>
          </w:tcPr>
          <w:p w14:paraId="2F16EF71">
            <w:pPr>
              <w:spacing w:before="40" w:after="40"/>
            </w:pPr>
            <w:r>
              <w:rPr>
                <w:rFonts w:ascii="Times New Roman" w:hAnsi="Times New Roman"/>
                <w:b w:val="0"/>
                <w:sz w:val="20"/>
              </w:rPr>
              <w:t>Hypertext Transfer Protocol Secure</w:t>
            </w:r>
          </w:p>
        </w:tc>
      </w:tr>
      <w:tr w14:paraId="4993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2B8A186E">
            <w:pPr>
              <w:spacing w:before="40" w:after="40"/>
            </w:pPr>
            <w:r>
              <w:rPr>
                <w:rFonts w:ascii="Times New Roman" w:hAnsi="Times New Roman"/>
                <w:b w:val="0"/>
                <w:sz w:val="20"/>
              </w:rPr>
              <w:t>IV</w:t>
            </w:r>
          </w:p>
        </w:tc>
        <w:tc>
          <w:tcPr>
            <w:tcW w:w="7488" w:type="dxa"/>
            <w:shd w:val="clear" w:color="auto" w:fill="F4F7F1"/>
            <w:vAlign w:val="center"/>
          </w:tcPr>
          <w:p w14:paraId="64BAB7B7">
            <w:pPr>
              <w:spacing w:before="40" w:after="40"/>
            </w:pPr>
            <w:r>
              <w:rPr>
                <w:rFonts w:ascii="Times New Roman" w:hAnsi="Times New Roman"/>
                <w:b w:val="0"/>
                <w:sz w:val="20"/>
              </w:rPr>
              <w:t>Initialization Vector</w:t>
            </w:r>
          </w:p>
        </w:tc>
      </w:tr>
      <w:tr w14:paraId="31B13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966582A">
            <w:pPr>
              <w:spacing w:before="40" w:after="40"/>
            </w:pPr>
            <w:r>
              <w:rPr>
                <w:rFonts w:ascii="Times New Roman" w:hAnsi="Times New Roman"/>
                <w:b w:val="0"/>
                <w:sz w:val="20"/>
              </w:rPr>
              <w:t>JWK</w:t>
            </w:r>
          </w:p>
        </w:tc>
        <w:tc>
          <w:tcPr>
            <w:tcW w:w="7488" w:type="dxa"/>
            <w:vAlign w:val="center"/>
          </w:tcPr>
          <w:p w14:paraId="531DD0E1">
            <w:pPr>
              <w:spacing w:before="40" w:after="40"/>
            </w:pPr>
            <w:r>
              <w:rPr>
                <w:rFonts w:ascii="Times New Roman" w:hAnsi="Times New Roman"/>
                <w:b w:val="0"/>
                <w:sz w:val="20"/>
              </w:rPr>
              <w:t>JSON Web Key</w:t>
            </w:r>
          </w:p>
        </w:tc>
      </w:tr>
      <w:tr w14:paraId="38A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581DFC13">
            <w:pPr>
              <w:spacing w:before="40" w:after="40"/>
            </w:pPr>
            <w:r>
              <w:rPr>
                <w:rFonts w:ascii="Times New Roman" w:hAnsi="Times New Roman"/>
                <w:b w:val="0"/>
                <w:sz w:val="20"/>
              </w:rPr>
              <w:t>PBKDF2</w:t>
            </w:r>
          </w:p>
        </w:tc>
        <w:tc>
          <w:tcPr>
            <w:tcW w:w="7488" w:type="dxa"/>
            <w:shd w:val="clear" w:color="auto" w:fill="F4F7F1"/>
            <w:vAlign w:val="center"/>
          </w:tcPr>
          <w:p w14:paraId="6B8D65E4">
            <w:pPr>
              <w:spacing w:before="40" w:after="40"/>
            </w:pPr>
            <w:r>
              <w:rPr>
                <w:rFonts w:ascii="Times New Roman" w:hAnsi="Times New Roman"/>
                <w:b w:val="0"/>
                <w:sz w:val="20"/>
              </w:rPr>
              <w:t>Password-Based Key Derivation Function 2</w:t>
            </w:r>
          </w:p>
        </w:tc>
      </w:tr>
      <w:tr w14:paraId="4A35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7F337DF">
            <w:pPr>
              <w:spacing w:before="40" w:after="40"/>
            </w:pPr>
            <w:r>
              <w:rPr>
                <w:rFonts w:ascii="Times New Roman" w:hAnsi="Times New Roman"/>
                <w:b w:val="0"/>
                <w:sz w:val="20"/>
              </w:rPr>
              <w:t>RSA-OAEP</w:t>
            </w:r>
          </w:p>
        </w:tc>
        <w:tc>
          <w:tcPr>
            <w:tcW w:w="7488" w:type="dxa"/>
            <w:vAlign w:val="center"/>
          </w:tcPr>
          <w:p w14:paraId="67667683">
            <w:pPr>
              <w:spacing w:before="40" w:after="40"/>
            </w:pPr>
            <w:r>
              <w:rPr>
                <w:rFonts w:ascii="Times New Roman" w:hAnsi="Times New Roman"/>
                <w:b w:val="0"/>
                <w:sz w:val="20"/>
              </w:rPr>
              <w:t>RSA encryption with Optimal Asymmetric Encryption Padding</w:t>
            </w:r>
          </w:p>
        </w:tc>
      </w:tr>
      <w:tr w14:paraId="6CA5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2664C57C">
            <w:pPr>
              <w:spacing w:before="40" w:after="40"/>
            </w:pPr>
            <w:r>
              <w:rPr>
                <w:rFonts w:ascii="Times New Roman" w:hAnsi="Times New Roman"/>
                <w:b w:val="0"/>
                <w:sz w:val="20"/>
              </w:rPr>
              <w:t>SQL</w:t>
            </w:r>
          </w:p>
        </w:tc>
        <w:tc>
          <w:tcPr>
            <w:tcW w:w="7488" w:type="dxa"/>
            <w:shd w:val="clear" w:color="auto" w:fill="F4F7F1"/>
            <w:vAlign w:val="center"/>
          </w:tcPr>
          <w:p w14:paraId="6555E6CF">
            <w:pPr>
              <w:spacing w:before="40" w:after="40"/>
            </w:pPr>
            <w:r>
              <w:rPr>
                <w:rFonts w:ascii="Times New Roman" w:hAnsi="Times New Roman"/>
                <w:b w:val="0"/>
                <w:sz w:val="20"/>
              </w:rPr>
              <w:t>Structured Query Language</w:t>
            </w:r>
          </w:p>
        </w:tc>
      </w:tr>
      <w:tr w14:paraId="5F62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D847200">
            <w:pPr>
              <w:spacing w:before="40" w:after="40"/>
            </w:pPr>
            <w:r>
              <w:rPr>
                <w:rFonts w:ascii="Times New Roman" w:hAnsi="Times New Roman"/>
                <w:b w:val="0"/>
                <w:sz w:val="20"/>
              </w:rPr>
              <w:t>TLS</w:t>
            </w:r>
          </w:p>
        </w:tc>
        <w:tc>
          <w:tcPr>
            <w:tcW w:w="7488" w:type="dxa"/>
            <w:vAlign w:val="center"/>
          </w:tcPr>
          <w:p w14:paraId="68B1D7B8">
            <w:pPr>
              <w:spacing w:before="40" w:after="40"/>
            </w:pPr>
            <w:r>
              <w:rPr>
                <w:rFonts w:ascii="Times New Roman" w:hAnsi="Times New Roman"/>
                <w:b w:val="0"/>
                <w:sz w:val="20"/>
              </w:rPr>
              <w:t>Transport Layer Security</w:t>
            </w:r>
          </w:p>
        </w:tc>
      </w:tr>
      <w:tr w14:paraId="1E89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30508A79">
            <w:pPr>
              <w:spacing w:before="40" w:after="40"/>
            </w:pPr>
            <w:r>
              <w:rPr>
                <w:rFonts w:ascii="Times New Roman" w:hAnsi="Times New Roman"/>
                <w:b w:val="0"/>
                <w:sz w:val="20"/>
              </w:rPr>
              <w:t>UI</w:t>
            </w:r>
          </w:p>
        </w:tc>
        <w:tc>
          <w:tcPr>
            <w:tcW w:w="7488" w:type="dxa"/>
            <w:shd w:val="clear" w:color="auto" w:fill="F4F7F1"/>
            <w:vAlign w:val="center"/>
          </w:tcPr>
          <w:p w14:paraId="31F8C708">
            <w:pPr>
              <w:spacing w:before="40" w:after="40"/>
            </w:pPr>
            <w:r>
              <w:rPr>
                <w:rFonts w:ascii="Times New Roman" w:hAnsi="Times New Roman"/>
                <w:b w:val="0"/>
                <w:sz w:val="20"/>
              </w:rPr>
              <w:t>User Interface</w:t>
            </w:r>
          </w:p>
        </w:tc>
      </w:tr>
      <w:tr w14:paraId="3340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D2E808D">
            <w:pPr>
              <w:spacing w:before="40" w:after="40"/>
            </w:pPr>
            <w:r>
              <w:rPr>
                <w:rFonts w:ascii="Times New Roman" w:hAnsi="Times New Roman"/>
                <w:b w:val="0"/>
                <w:sz w:val="20"/>
              </w:rPr>
              <w:t>Web Crypto API</w:t>
            </w:r>
          </w:p>
        </w:tc>
        <w:tc>
          <w:tcPr>
            <w:tcW w:w="7488" w:type="dxa"/>
            <w:vAlign w:val="center"/>
          </w:tcPr>
          <w:p w14:paraId="3792FE93">
            <w:pPr>
              <w:spacing w:before="40" w:after="40"/>
            </w:pPr>
            <w:r>
              <w:rPr>
                <w:rFonts w:ascii="Times New Roman" w:hAnsi="Times New Roman"/>
                <w:b w:val="0"/>
                <w:sz w:val="20"/>
              </w:rPr>
              <w:t>Browser API for cryptographic operations</w:t>
            </w:r>
          </w:p>
        </w:tc>
      </w:tr>
    </w:tbl>
    <w:p w14:paraId="11823A50">
      <w:pPr>
        <w:spacing w:after="20"/>
      </w:pPr>
    </w:p>
    <w:p w14:paraId="74B0226A">
      <w:r>
        <w:br w:type="page"/>
      </w:r>
    </w:p>
    <w:p w14:paraId="68497B17">
      <w:pPr>
        <w:pStyle w:val="2"/>
      </w:pPr>
      <w:r>
        <w:t>LIST OF FIGURES</w:t>
      </w:r>
    </w:p>
    <w:p w14:paraId="60AF44BA">
      <w:pPr>
        <w:widowControl/>
        <w:jc w:val="left"/>
      </w:pPr>
      <w:r>
        <w:rPr>
          <w:i w:val="0"/>
        </w:rPr>
        <w:t>Fig. 1  Commonroom high-level system architecture</w:t>
      </w:r>
    </w:p>
    <w:p w14:paraId="001B027F">
      <w:pPr>
        <w:widowControl/>
        <w:jc w:val="left"/>
      </w:pPr>
      <w:r>
        <w:rPr>
          <w:i w:val="0"/>
        </w:rPr>
        <w:t>Fig. 2  End-to-end encrypted message flow</w:t>
      </w:r>
    </w:p>
    <w:p w14:paraId="4C37189A">
      <w:pPr>
        <w:widowControl/>
        <w:jc w:val="left"/>
      </w:pPr>
      <w:r>
        <w:rPr>
          <w:i w:val="0"/>
        </w:rPr>
        <w:t>Fig. 3  Account key backup and recovery flow</w:t>
      </w:r>
    </w:p>
    <w:p w14:paraId="425D0DBA">
      <w:pPr>
        <w:widowControl/>
        <w:jc w:val="left"/>
      </w:pPr>
      <w:r>
        <w:rPr>
          <w:i w:val="0"/>
        </w:rPr>
        <w:t>Fig. 4  Conversation message retrieval and authorization flow</w:t>
      </w:r>
    </w:p>
    <w:p w14:paraId="7402B553">
      <w:r>
        <w:br w:type="page"/>
      </w:r>
    </w:p>
    <w:p w14:paraId="2AAD4630">
      <w:pPr>
        <w:pStyle w:val="2"/>
      </w:pPr>
      <w:r>
        <w:t>LIST OF TABLES</w:t>
      </w:r>
    </w:p>
    <w:p w14:paraId="22F6E8B3">
      <w:pPr>
        <w:widowControl/>
        <w:jc w:val="left"/>
      </w:pPr>
      <w:r>
        <w:rPr>
          <w:i w:val="0"/>
        </w:rPr>
        <w:t>Table 1  Software and technologies used</w:t>
      </w:r>
    </w:p>
    <w:p w14:paraId="2D2FE7AE">
      <w:pPr>
        <w:widowControl/>
        <w:jc w:val="left"/>
      </w:pPr>
      <w:r>
        <w:rPr>
          <w:i w:val="0"/>
        </w:rPr>
        <w:t>Table 2  Main application modules</w:t>
      </w:r>
    </w:p>
    <w:p w14:paraId="3DAF9ACF">
      <w:pPr>
        <w:widowControl/>
        <w:jc w:val="left"/>
      </w:pPr>
      <w:r>
        <w:rPr>
          <w:i w:val="0"/>
        </w:rPr>
        <w:t>Table 3  Message processing stages</w:t>
      </w:r>
    </w:p>
    <w:p w14:paraId="0662DA8C">
      <w:pPr>
        <w:widowControl/>
        <w:jc w:val="left"/>
      </w:pPr>
      <w:r>
        <w:rPr>
          <w:i w:val="0"/>
        </w:rPr>
        <w:t>Table 4  Focused functional and security checks</w:t>
      </w:r>
    </w:p>
    <w:p w14:paraId="5031D516">
      <w:r>
        <w:br w:type="page"/>
      </w:r>
    </w:p>
    <w:p w14:paraId="524DD7C6">
      <w:pPr>
        <w:pStyle w:val="2"/>
      </w:pPr>
      <w:r>
        <w:t>NOMENCLATURE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7200"/>
      </w:tblGrid>
      <w:tr w14:paraId="7F13B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173A31"/>
            <w:vAlign w:val="center"/>
          </w:tcPr>
          <w:p w14:paraId="53A7DD3A">
            <w:pPr>
              <w:spacing w:before="40" w:after="40"/>
              <w:jc w:val="center"/>
            </w:pPr>
            <w:r>
              <w:rPr>
                <w:rFonts w:ascii="Times New Roman" w:hAnsi="Times New Roman"/>
                <w:b/>
                <w:color w:val="FFFFFF"/>
                <w:sz w:val="20"/>
              </w:rPr>
              <w:t>Term</w:t>
            </w:r>
          </w:p>
        </w:tc>
        <w:tc>
          <w:tcPr>
            <w:tcW w:w="7200" w:type="dxa"/>
            <w:shd w:val="clear" w:color="auto" w:fill="173A31"/>
            <w:vAlign w:val="center"/>
          </w:tcPr>
          <w:p w14:paraId="75767D0C">
            <w:pPr>
              <w:spacing w:before="40" w:after="40"/>
              <w:jc w:val="center"/>
            </w:pPr>
            <w:r>
              <w:rPr>
                <w:rFonts w:ascii="Times New Roman" w:hAnsi="Times New Roman"/>
                <w:b/>
                <w:color w:val="FFFFFF"/>
                <w:sz w:val="20"/>
              </w:rPr>
              <w:t>Description</w:t>
            </w:r>
          </w:p>
        </w:tc>
      </w:tr>
      <w:tr w14:paraId="1551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4F7F1"/>
            <w:vAlign w:val="center"/>
          </w:tcPr>
          <w:p w14:paraId="646D0048">
            <w:pPr>
              <w:spacing w:before="40" w:after="40"/>
            </w:pPr>
            <w:r>
              <w:rPr>
                <w:rFonts w:ascii="Times New Roman" w:hAnsi="Times New Roman"/>
                <w:b w:val="0"/>
                <w:sz w:val="20"/>
              </w:rPr>
              <w:t>Conversation</w:t>
            </w:r>
          </w:p>
        </w:tc>
        <w:tc>
          <w:tcPr>
            <w:tcW w:w="7200" w:type="dxa"/>
            <w:shd w:val="clear" w:color="auto" w:fill="F4F7F1"/>
            <w:vAlign w:val="center"/>
          </w:tcPr>
          <w:p w14:paraId="1358D2E6">
            <w:pPr>
              <w:spacing w:before="40" w:after="40"/>
            </w:pPr>
            <w:r>
              <w:rPr>
                <w:rFonts w:ascii="Times New Roman" w:hAnsi="Times New Roman"/>
                <w:b w:val="0"/>
                <w:sz w:val="20"/>
              </w:rPr>
              <w:t>A persistent chat with a defined set of member account IDs.</w:t>
            </w:r>
          </w:p>
        </w:tc>
      </w:tr>
      <w:tr w14:paraId="3D002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1F757FA">
            <w:pPr>
              <w:spacing w:before="40" w:after="40"/>
            </w:pPr>
            <w:r>
              <w:rPr>
                <w:rFonts w:ascii="Times New Roman" w:hAnsi="Times New Roman"/>
                <w:b w:val="0"/>
                <w:sz w:val="20"/>
              </w:rPr>
              <w:t>Ciphertext</w:t>
            </w:r>
          </w:p>
        </w:tc>
        <w:tc>
          <w:tcPr>
            <w:tcW w:w="7200" w:type="dxa"/>
            <w:vAlign w:val="center"/>
          </w:tcPr>
          <w:p w14:paraId="1C06995E">
            <w:pPr>
              <w:spacing w:before="40" w:after="40"/>
            </w:pPr>
            <w:r>
              <w:rPr>
                <w:rFonts w:ascii="Times New Roman" w:hAnsi="Times New Roman"/>
                <w:b w:val="0"/>
                <w:sz w:val="20"/>
              </w:rPr>
              <w:t>Encrypted message bytes stored or transmitted by the server.</w:t>
            </w:r>
          </w:p>
        </w:tc>
      </w:tr>
      <w:tr w14:paraId="78BF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4F7F1"/>
            <w:vAlign w:val="center"/>
          </w:tcPr>
          <w:p w14:paraId="089CB589">
            <w:pPr>
              <w:spacing w:before="40" w:after="40"/>
            </w:pPr>
            <w:r>
              <w:rPr>
                <w:rFonts w:ascii="Times New Roman" w:hAnsi="Times New Roman"/>
                <w:b w:val="0"/>
                <w:sz w:val="20"/>
              </w:rPr>
              <w:t>Envelope</w:t>
            </w:r>
          </w:p>
        </w:tc>
        <w:tc>
          <w:tcPr>
            <w:tcW w:w="7200" w:type="dxa"/>
            <w:shd w:val="clear" w:color="auto" w:fill="F4F7F1"/>
            <w:vAlign w:val="center"/>
          </w:tcPr>
          <w:p w14:paraId="04EA50B1">
            <w:pPr>
              <w:spacing w:before="40" w:after="40"/>
            </w:pPr>
            <w:r>
              <w:rPr>
                <w:rFonts w:ascii="Times New Roman" w:hAnsi="Times New Roman"/>
                <w:b w:val="0"/>
                <w:sz w:val="20"/>
              </w:rPr>
              <w:t>A copy of the per-message AES key encrypted for one recipient public key.</w:t>
            </w:r>
          </w:p>
        </w:tc>
      </w:tr>
      <w:tr w14:paraId="0DAD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0DF175C">
            <w:pPr>
              <w:spacing w:before="40" w:after="40"/>
            </w:pPr>
            <w:r>
              <w:rPr>
                <w:rFonts w:ascii="Times New Roman" w:hAnsi="Times New Roman"/>
                <w:b w:val="0"/>
                <w:sz w:val="20"/>
              </w:rPr>
              <w:t>Identity key pair</w:t>
            </w:r>
          </w:p>
        </w:tc>
        <w:tc>
          <w:tcPr>
            <w:tcW w:w="7200" w:type="dxa"/>
            <w:vAlign w:val="center"/>
          </w:tcPr>
          <w:p w14:paraId="40472326">
            <w:pPr>
              <w:spacing w:before="40" w:after="40"/>
            </w:pPr>
            <w:r>
              <w:rPr>
                <w:rFonts w:ascii="Times New Roman" w:hAnsi="Times New Roman"/>
                <w:b w:val="0"/>
                <w:sz w:val="20"/>
              </w:rPr>
              <w:t>A user RSA public/private key pair used to protect message AES keys.</w:t>
            </w:r>
          </w:p>
        </w:tc>
      </w:tr>
      <w:tr w14:paraId="7551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4F7F1"/>
            <w:vAlign w:val="center"/>
          </w:tcPr>
          <w:p w14:paraId="28DE7161">
            <w:pPr>
              <w:spacing w:before="40" w:after="40"/>
            </w:pPr>
            <w:r>
              <w:rPr>
                <w:rFonts w:ascii="Times New Roman" w:hAnsi="Times New Roman"/>
                <w:b w:val="0"/>
                <w:sz w:val="20"/>
              </w:rPr>
              <w:t>Key backup</w:t>
            </w:r>
          </w:p>
        </w:tc>
        <w:tc>
          <w:tcPr>
            <w:tcW w:w="7200" w:type="dxa"/>
            <w:shd w:val="clear" w:color="auto" w:fill="F4F7F1"/>
            <w:vAlign w:val="center"/>
          </w:tcPr>
          <w:p w14:paraId="238D8717">
            <w:pPr>
              <w:spacing w:before="40" w:after="40"/>
            </w:pPr>
            <w:r>
              <w:rPr>
                <w:rFonts w:ascii="Times New Roman" w:hAnsi="Times New Roman"/>
                <w:b w:val="0"/>
                <w:sz w:val="20"/>
              </w:rPr>
              <w:t>The private-key JWK encrypted with a password-derived AES-GCM key.</w:t>
            </w:r>
          </w:p>
        </w:tc>
      </w:tr>
      <w:tr w14:paraId="258A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D075DAF">
            <w:pPr>
              <w:spacing w:before="40" w:after="40"/>
            </w:pPr>
            <w:r>
              <w:rPr>
                <w:rFonts w:ascii="Times New Roman" w:hAnsi="Times New Roman"/>
                <w:b w:val="0"/>
                <w:sz w:val="20"/>
              </w:rPr>
              <w:t>Member</w:t>
            </w:r>
          </w:p>
        </w:tc>
        <w:tc>
          <w:tcPr>
            <w:tcW w:w="7200" w:type="dxa"/>
            <w:vAlign w:val="center"/>
          </w:tcPr>
          <w:p w14:paraId="37BE7077">
            <w:pPr>
              <w:spacing w:before="40" w:after="40"/>
            </w:pPr>
            <w:r>
              <w:rPr>
                <w:rFonts w:ascii="Times New Roman" w:hAnsi="Times New Roman"/>
                <w:b w:val="0"/>
                <w:sz w:val="20"/>
              </w:rPr>
              <w:t>An account authorized to participate in a particular conversation.</w:t>
            </w:r>
          </w:p>
        </w:tc>
      </w:tr>
      <w:tr w14:paraId="1F5E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4F7F1"/>
            <w:vAlign w:val="center"/>
          </w:tcPr>
          <w:p w14:paraId="5B7A7CEF">
            <w:pPr>
              <w:spacing w:before="40" w:after="40"/>
            </w:pPr>
            <w:r>
              <w:rPr>
                <w:rFonts w:ascii="Times New Roman" w:hAnsi="Times New Roman"/>
                <w:b w:val="0"/>
                <w:sz w:val="20"/>
              </w:rPr>
              <w:t>Message cursor</w:t>
            </w:r>
          </w:p>
        </w:tc>
        <w:tc>
          <w:tcPr>
            <w:tcW w:w="7200" w:type="dxa"/>
            <w:shd w:val="clear" w:color="auto" w:fill="F4F7F1"/>
            <w:vAlign w:val="center"/>
          </w:tcPr>
          <w:p w14:paraId="45B257C3">
            <w:pPr>
              <w:spacing w:before="40" w:after="40"/>
            </w:pPr>
            <w:r>
              <w:rPr>
                <w:rFonts w:ascii="Times New Roman" w:hAnsi="Times New Roman"/>
                <w:b w:val="0"/>
                <w:sz w:val="20"/>
              </w:rPr>
              <w:t>A record identifier used to request messages newer than the last loaded record.</w:t>
            </w:r>
          </w:p>
        </w:tc>
      </w:tr>
      <w:tr w14:paraId="2864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D3C9B04">
            <w:pPr>
              <w:spacing w:before="40" w:after="40"/>
            </w:pPr>
            <w:r>
              <w:rPr>
                <w:rFonts w:ascii="Times New Roman" w:hAnsi="Times New Roman"/>
                <w:b w:val="0"/>
                <w:sz w:val="20"/>
              </w:rPr>
              <w:t>Plaintext</w:t>
            </w:r>
          </w:p>
        </w:tc>
        <w:tc>
          <w:tcPr>
            <w:tcW w:w="7200" w:type="dxa"/>
            <w:vAlign w:val="center"/>
          </w:tcPr>
          <w:p w14:paraId="6AF0D6B8">
            <w:pPr>
              <w:spacing w:before="40" w:after="40"/>
            </w:pPr>
            <w:r>
              <w:rPr>
                <w:rFonts w:ascii="Times New Roman" w:hAnsi="Times New Roman"/>
                <w:b w:val="0"/>
                <w:sz w:val="20"/>
              </w:rPr>
              <w:t>Original readable message or image bytes before encryption or after decryption.</w:t>
            </w:r>
          </w:p>
        </w:tc>
      </w:tr>
      <w:tr w14:paraId="120F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4F7F1"/>
            <w:vAlign w:val="center"/>
          </w:tcPr>
          <w:p w14:paraId="7693DB93">
            <w:pPr>
              <w:spacing w:before="40" w:after="40"/>
            </w:pPr>
            <w:r>
              <w:rPr>
                <w:rFonts w:ascii="Times New Roman" w:hAnsi="Times New Roman"/>
                <w:b w:val="0"/>
                <w:sz w:val="20"/>
              </w:rPr>
              <w:t>Recipient</w:t>
            </w:r>
          </w:p>
        </w:tc>
        <w:tc>
          <w:tcPr>
            <w:tcW w:w="7200" w:type="dxa"/>
            <w:shd w:val="clear" w:color="auto" w:fill="F4F7F1"/>
            <w:vAlign w:val="center"/>
          </w:tcPr>
          <w:p w14:paraId="13DFB872">
            <w:pPr>
              <w:spacing w:before="40" w:after="40"/>
            </w:pPr>
            <w:r>
              <w:rPr>
                <w:rFonts w:ascii="Times New Roman" w:hAnsi="Times New Roman"/>
                <w:b w:val="0"/>
                <w:sz w:val="20"/>
              </w:rPr>
              <w:t>A conversation member whose public key receives an encrypted key envelope.</w:t>
            </w:r>
          </w:p>
        </w:tc>
      </w:tr>
    </w:tbl>
    <w:p w14:paraId="7B6FCA59">
      <w:pPr>
        <w:spacing w:after="20"/>
      </w:pPr>
    </w:p>
    <w:p w14:paraId="7E68EBD3">
      <w:r>
        <w:br w:type="page"/>
      </w:r>
    </w:p>
    <w:p w14:paraId="4C66C36A">
      <w:pPr>
        <w:pStyle w:val="2"/>
      </w:pPr>
      <w:r>
        <w:t>CHAPTER 1: INTRODUCTION</w:t>
      </w:r>
    </w:p>
    <w:p w14:paraId="65C5C5B0">
      <w:pPr>
        <w:pStyle w:val="3"/>
      </w:pPr>
      <w:r>
        <w:t>1.1 Introduction</w:t>
      </w:r>
    </w:p>
    <w:p w14:paraId="1B891F9D">
      <w:pPr>
        <w:widowControl/>
        <w:jc w:val="both"/>
      </w:pPr>
      <w:r>
        <w:rPr>
          <w:i w:val="0"/>
        </w:rPr>
        <w:t>Private messaging applications commonly depend on a server to route and persist communications. If message content is stored as plaintext, an operator or a compromised database may expose it. Commonroom addresses content confidentiality by performing message encryption in the browser before transmission. The backend remains responsible for account authentication, access control, conversation membership, and persistence, but normal message content is carried as encrypted data.</w:t>
      </w:r>
    </w:p>
    <w:p w14:paraId="37CA62D3">
      <w:pPr>
        <w:widowControl/>
        <w:jc w:val="both"/>
      </w:pPr>
      <w:r>
        <w:rPr>
          <w:i w:val="0"/>
        </w:rPr>
        <w:t>Commonroom is a web application rather than an offline mesh application. It runs in a browser and communicates with an API over HTTPS. In the hosted setup, the static frontend is published through GitHub Pages, the API runs on Render, and Firebase Realtime Database is used as the hosted message store. A local development mode can run the Flask server on the developer?s computer.</w:t>
      </w:r>
    </w:p>
    <w:p w14:paraId="776FA825">
      <w:pPr>
        <w:pStyle w:val="3"/>
      </w:pPr>
      <w:r>
        <w:t>1.2 Problem Statement</w:t>
      </w:r>
    </w:p>
    <w:p w14:paraId="1BF2B797">
      <w:pPr>
        <w:widowControl/>
        <w:jc w:val="both"/>
      </w:pPr>
      <w:r>
        <w:rPr>
          <w:i w:val="0"/>
        </w:rPr>
        <w:t>A chat service needs to make messages available to the intended participants while reducing the server?s ability to read their content. It must also separate conversations so that a user?s messages from one direct chat are not presented in another. This project combines client-side encryption, recipient-specific key envelopes, server-side membership checks, and conversation-scoped message retrieval to address these requirements.</w:t>
      </w:r>
    </w:p>
    <w:p w14:paraId="55AB35EB">
      <w:pPr>
        <w:pStyle w:val="3"/>
      </w:pPr>
      <w:r>
        <w:t>1.3 Objectives</w:t>
      </w:r>
    </w:p>
    <w:p w14:paraId="3F4F7B46">
      <w:pPr>
        <w:pStyle w:val="23"/>
        <w:spacing w:after="60"/>
        <w:ind w:left="360"/>
      </w:pPr>
      <w:r>
        <w:t>Develop a browser-based interface for account registration, authentication, and private conversations.</w:t>
      </w:r>
    </w:p>
    <w:p w14:paraId="25A4798C">
      <w:pPr>
        <w:pStyle w:val="23"/>
        <w:spacing w:after="60"/>
        <w:ind w:left="360"/>
      </w:pPr>
      <w:r>
        <w:t>Encrypt text, emoji, and supported image payloads on the client before sending them to the API.</w:t>
      </w:r>
    </w:p>
    <w:p w14:paraId="2E669A41">
      <w:pPr>
        <w:pStyle w:val="23"/>
        <w:spacing w:after="60"/>
        <w:ind w:left="360"/>
      </w:pPr>
      <w:r>
        <w:t>Use a distinct AES-GCM content key for each message and wrap it for each conversation member.</w:t>
      </w:r>
    </w:p>
    <w:p w14:paraId="5B2657BD">
      <w:pPr>
        <w:pStyle w:val="23"/>
        <w:spacing w:after="60"/>
        <w:ind w:left="360"/>
      </w:pPr>
      <w:r>
        <w:t>Provide direct conversations, group conversations, chat requests, and encrypted key backup/recovery.</w:t>
      </w:r>
    </w:p>
    <w:p w14:paraId="3D5F0BCE">
      <w:pPr>
        <w:pStyle w:val="23"/>
        <w:spacing w:after="60"/>
        <w:ind w:left="360"/>
      </w:pPr>
      <w:r>
        <w:t>Restrict message retrieval and sending to authenticated members of the relevant conversation.</w:t>
      </w:r>
    </w:p>
    <w:p w14:paraId="15636391">
      <w:pPr>
        <w:pStyle w:val="23"/>
        <w:spacing w:after="60"/>
        <w:ind w:left="360"/>
      </w:pPr>
      <w:r>
        <w:t>Support local development and a hosted deployment using the project?s documented services.</w:t>
      </w:r>
    </w:p>
    <w:p w14:paraId="3F8829A6">
      <w:pPr>
        <w:pStyle w:val="23"/>
        <w:spacing w:after="60"/>
        <w:ind w:left="360"/>
      </w:pPr>
      <w:r>
        <w:t>Test that separate conversations return only their own messages and that non-members are denied access.</w:t>
      </w:r>
    </w:p>
    <w:p w14:paraId="21273389">
      <w:pPr>
        <w:pStyle w:val="3"/>
      </w:pPr>
      <w:r>
        <w:t>1.4 Scope</w:t>
      </w:r>
    </w:p>
    <w:p w14:paraId="3F7F442A">
      <w:pPr>
        <w:widowControl/>
        <w:jc w:val="both"/>
      </w:pPr>
      <w:r>
        <w:rPr>
          <w:i w:val="0"/>
        </w:rPr>
        <w:t>The project scope includes the Commonroom web frontend, Flask API, client-side encryption and decryption, account/session handling, conversation membership, message storage, encrypted key backups, and the administrative encrypted-record viewer. Group conversations support up to 20 members, and encrypted images are limited to 8 MB by the interface and API.</w:t>
      </w:r>
    </w:p>
    <w:p w14:paraId="0B74C883">
      <w:pPr>
        <w:widowControl/>
        <w:jc w:val="both"/>
      </w:pPr>
      <w:r>
        <w:rPr>
          <w:i w:val="0"/>
        </w:rPr>
        <w:t>The project does not provide offline peer-to-peer mesh routing. Access to hosted conversations requires network connectivity to the configured API and backing services. The administrative records viewer displays encrypted payloads and metadata; it is restricted separately from ordinary chat access. A successful encryption design does not by itself constitute an independent security audit or production certification.</w:t>
      </w:r>
    </w:p>
    <w:p w14:paraId="4A46EF71">
      <w:pPr>
        <w:pStyle w:val="3"/>
      </w:pPr>
      <w:r>
        <w:t>1.5 Applications</w:t>
      </w:r>
    </w:p>
    <w:p w14:paraId="664940DE">
      <w:pPr>
        <w:pStyle w:val="23"/>
        <w:spacing w:after="60"/>
        <w:ind w:left="360"/>
      </w:pPr>
      <w:r>
        <w:t>Private one-to-one and small-group communication through a web browser.</w:t>
      </w:r>
    </w:p>
    <w:p w14:paraId="76F474BE">
      <w:pPr>
        <w:pStyle w:val="23"/>
        <w:spacing w:after="60"/>
        <w:ind w:left="360"/>
      </w:pPr>
      <w:r>
        <w:t>Demonstration and study of hybrid public-key and symmetric-key encryption.</w:t>
      </w:r>
    </w:p>
    <w:p w14:paraId="2E3A22C4">
      <w:pPr>
        <w:pStyle w:val="23"/>
        <w:spacing w:after="60"/>
        <w:ind w:left="360"/>
      </w:pPr>
      <w:r>
        <w:t>Academic exploration of browser cryptography, REST APIs, persistence, and access control.</w:t>
      </w:r>
    </w:p>
    <w:p w14:paraId="1F6276F5">
      <w:pPr>
        <w:pStyle w:val="23"/>
        <w:spacing w:after="60"/>
        <w:ind w:left="360"/>
      </w:pPr>
      <w:r>
        <w:t>Inspection of encrypted records by explicitly authorized administrators.</w:t>
      </w:r>
    </w:p>
    <w:p w14:paraId="71935D35">
      <w:r>
        <w:br w:type="page"/>
      </w:r>
    </w:p>
    <w:p w14:paraId="503D5C62">
      <w:pPr>
        <w:pStyle w:val="2"/>
      </w:pPr>
      <w:r>
        <w:t>CHAPTER 2: METHODOLOGY AND DESIGN</w:t>
      </w:r>
    </w:p>
    <w:p w14:paraId="04A50C66">
      <w:pPr>
        <w:pStyle w:val="3"/>
      </w:pPr>
      <w:r>
        <w:t>2.1 Software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768"/>
      </w:tblGrid>
      <w:tr w14:paraId="5F84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73A31"/>
            <w:vAlign w:val="center"/>
          </w:tcPr>
          <w:p w14:paraId="6CAA949F">
            <w:pPr>
              <w:spacing w:before="40" w:after="40"/>
              <w:jc w:val="center"/>
            </w:pPr>
            <w:r>
              <w:rPr>
                <w:rFonts w:ascii="Times New Roman" w:hAnsi="Times New Roman"/>
                <w:b/>
                <w:color w:val="FFFFFF"/>
                <w:sz w:val="20"/>
              </w:rPr>
              <w:t>Technology</w:t>
            </w:r>
          </w:p>
        </w:tc>
        <w:tc>
          <w:tcPr>
            <w:tcW w:w="6768" w:type="dxa"/>
            <w:shd w:val="clear" w:color="auto" w:fill="173A31"/>
            <w:vAlign w:val="center"/>
          </w:tcPr>
          <w:p w14:paraId="609F36C9">
            <w:pPr>
              <w:spacing w:before="40" w:after="40"/>
              <w:jc w:val="center"/>
            </w:pPr>
            <w:r>
              <w:rPr>
                <w:rFonts w:ascii="Times New Roman" w:hAnsi="Times New Roman"/>
                <w:b/>
                <w:color w:val="FFFFFF"/>
                <w:sz w:val="20"/>
              </w:rPr>
              <w:t>Purpose in Commonroom</w:t>
            </w:r>
          </w:p>
        </w:tc>
      </w:tr>
      <w:tr w14:paraId="3C12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4F7F1"/>
            <w:vAlign w:val="center"/>
          </w:tcPr>
          <w:p w14:paraId="61DB219D">
            <w:pPr>
              <w:spacing w:before="40" w:after="40"/>
            </w:pPr>
            <w:r>
              <w:rPr>
                <w:rFonts w:ascii="Times New Roman" w:hAnsi="Times New Roman"/>
                <w:b w:val="0"/>
                <w:sz w:val="20"/>
              </w:rPr>
              <w:t>HTML, CSS, JavaScript</w:t>
            </w:r>
          </w:p>
        </w:tc>
        <w:tc>
          <w:tcPr>
            <w:tcW w:w="6768" w:type="dxa"/>
            <w:shd w:val="clear" w:color="auto" w:fill="F4F7F1"/>
            <w:vAlign w:val="center"/>
          </w:tcPr>
          <w:p w14:paraId="14B311A1">
            <w:pPr>
              <w:spacing w:before="40" w:after="40"/>
            </w:pPr>
            <w:r>
              <w:rPr>
                <w:rFonts w:ascii="Times New Roman" w:hAnsi="Times New Roman"/>
                <w:b w:val="0"/>
                <w:sz w:val="20"/>
              </w:rPr>
              <w:t>Static web interface, conversation screens, and client-side application logic.</w:t>
            </w:r>
          </w:p>
        </w:tc>
      </w:tr>
      <w:tr w14:paraId="2BAD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0736A8A">
            <w:pPr>
              <w:spacing w:before="40" w:after="40"/>
            </w:pPr>
            <w:r>
              <w:rPr>
                <w:rFonts w:ascii="Times New Roman" w:hAnsi="Times New Roman"/>
                <w:b w:val="0"/>
                <w:sz w:val="20"/>
              </w:rPr>
              <w:t>Web Crypto API</w:t>
            </w:r>
          </w:p>
        </w:tc>
        <w:tc>
          <w:tcPr>
            <w:tcW w:w="6768" w:type="dxa"/>
            <w:vAlign w:val="center"/>
          </w:tcPr>
          <w:p w14:paraId="59A6AC77">
            <w:pPr>
              <w:spacing w:before="40" w:after="40"/>
            </w:pPr>
            <w:r>
              <w:rPr>
                <w:rFonts w:ascii="Times New Roman" w:hAnsi="Times New Roman"/>
                <w:b w:val="0"/>
                <w:sz w:val="20"/>
              </w:rPr>
              <w:t>RSA-OAEP, AES-GCM, PBKDF2, key import/export, encryption, and decryption in the browser.</w:t>
            </w:r>
          </w:p>
        </w:tc>
      </w:tr>
      <w:tr w14:paraId="6642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4F7F1"/>
            <w:vAlign w:val="center"/>
          </w:tcPr>
          <w:p w14:paraId="18F9DC91">
            <w:pPr>
              <w:spacing w:before="40" w:after="40"/>
            </w:pPr>
            <w:r>
              <w:rPr>
                <w:rFonts w:ascii="Times New Roman" w:hAnsi="Times New Roman"/>
                <w:b w:val="0"/>
                <w:sz w:val="20"/>
              </w:rPr>
              <w:t>Python and Flask</w:t>
            </w:r>
          </w:p>
        </w:tc>
        <w:tc>
          <w:tcPr>
            <w:tcW w:w="6768" w:type="dxa"/>
            <w:shd w:val="clear" w:color="auto" w:fill="F4F7F1"/>
            <w:vAlign w:val="center"/>
          </w:tcPr>
          <w:p w14:paraId="3B257D90">
            <w:pPr>
              <w:spacing w:before="40" w:after="40"/>
            </w:pPr>
            <w:r>
              <w:rPr>
                <w:rFonts w:ascii="Times New Roman" w:hAnsi="Times New Roman"/>
                <w:b w:val="0"/>
                <w:sz w:val="20"/>
              </w:rPr>
              <w:t>HTTP API for accounts, sessions, chat requests, conversations, and message operations.</w:t>
            </w:r>
          </w:p>
        </w:tc>
      </w:tr>
      <w:tr w14:paraId="02B5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9761F76">
            <w:pPr>
              <w:spacing w:before="40" w:after="40"/>
            </w:pPr>
            <w:r>
              <w:rPr>
                <w:rFonts w:ascii="Times New Roman" w:hAnsi="Times New Roman"/>
                <w:b w:val="0"/>
                <w:sz w:val="20"/>
              </w:rPr>
              <w:t>SQLite</w:t>
            </w:r>
          </w:p>
        </w:tc>
        <w:tc>
          <w:tcPr>
            <w:tcW w:w="6768" w:type="dxa"/>
            <w:vAlign w:val="center"/>
          </w:tcPr>
          <w:p w14:paraId="674082D2">
            <w:pPr>
              <w:spacing w:before="40" w:after="40"/>
            </w:pPr>
            <w:r>
              <w:rPr>
                <w:rFonts w:ascii="Times New Roman" w:hAnsi="Times New Roman"/>
                <w:b w:val="0"/>
                <w:sz w:val="20"/>
              </w:rPr>
              <w:t>Local persistence for users, sessions, conversation metadata, membership, and development messages.</w:t>
            </w:r>
          </w:p>
        </w:tc>
      </w:tr>
      <w:tr w14:paraId="1568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4F7F1"/>
            <w:vAlign w:val="center"/>
          </w:tcPr>
          <w:p w14:paraId="37877B04">
            <w:pPr>
              <w:spacing w:before="40" w:after="40"/>
            </w:pPr>
            <w:r>
              <w:rPr>
                <w:rFonts w:ascii="Times New Roman" w:hAnsi="Times New Roman"/>
                <w:b w:val="0"/>
                <w:sz w:val="20"/>
              </w:rPr>
              <w:t>Firebase Realtime Database</w:t>
            </w:r>
          </w:p>
        </w:tc>
        <w:tc>
          <w:tcPr>
            <w:tcW w:w="6768" w:type="dxa"/>
            <w:shd w:val="clear" w:color="auto" w:fill="F4F7F1"/>
            <w:vAlign w:val="center"/>
          </w:tcPr>
          <w:p w14:paraId="137F753E">
            <w:pPr>
              <w:spacing w:before="40" w:after="40"/>
            </w:pPr>
            <w:r>
              <w:rPr>
                <w:rFonts w:ascii="Times New Roman" w:hAnsi="Times New Roman"/>
                <w:b w:val="0"/>
                <w:sz w:val="20"/>
              </w:rPr>
              <w:t>Hosted storage for message records and synchronized account/conversation data.</w:t>
            </w:r>
          </w:p>
        </w:tc>
      </w:tr>
      <w:tr w14:paraId="3DD5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0B0881F">
            <w:pPr>
              <w:spacing w:before="40" w:after="40"/>
            </w:pPr>
            <w:r>
              <w:rPr>
                <w:rFonts w:ascii="Times New Roman" w:hAnsi="Times New Roman"/>
                <w:b w:val="0"/>
                <w:sz w:val="20"/>
              </w:rPr>
              <w:t>Render</w:t>
            </w:r>
          </w:p>
        </w:tc>
        <w:tc>
          <w:tcPr>
            <w:tcW w:w="6768" w:type="dxa"/>
            <w:vAlign w:val="center"/>
          </w:tcPr>
          <w:p w14:paraId="338C5FC1">
            <w:pPr>
              <w:spacing w:before="40" w:after="40"/>
            </w:pPr>
            <w:r>
              <w:rPr>
                <w:rFonts w:ascii="Times New Roman" w:hAnsi="Times New Roman"/>
                <w:b w:val="0"/>
                <w:sz w:val="20"/>
              </w:rPr>
              <w:t>Hosted execution environment for the Flask API.</w:t>
            </w:r>
          </w:p>
        </w:tc>
      </w:tr>
      <w:tr w14:paraId="3F65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4F7F1"/>
            <w:vAlign w:val="center"/>
          </w:tcPr>
          <w:p w14:paraId="2E3AB585">
            <w:pPr>
              <w:spacing w:before="40" w:after="40"/>
            </w:pPr>
            <w:r>
              <w:rPr>
                <w:rFonts w:ascii="Times New Roman" w:hAnsi="Times New Roman"/>
                <w:b w:val="0"/>
                <w:sz w:val="20"/>
              </w:rPr>
              <w:t>GitHub Pages</w:t>
            </w:r>
          </w:p>
        </w:tc>
        <w:tc>
          <w:tcPr>
            <w:tcW w:w="6768" w:type="dxa"/>
            <w:shd w:val="clear" w:color="auto" w:fill="F4F7F1"/>
            <w:vAlign w:val="center"/>
          </w:tcPr>
          <w:p w14:paraId="41FBC40C">
            <w:pPr>
              <w:spacing w:before="40" w:after="40"/>
            </w:pPr>
            <w:r>
              <w:rPr>
                <w:rFonts w:ascii="Times New Roman" w:hAnsi="Times New Roman"/>
                <w:b w:val="0"/>
                <w:sz w:val="20"/>
              </w:rPr>
              <w:t>Static hosting for the web frontend.</w:t>
            </w:r>
          </w:p>
        </w:tc>
      </w:tr>
      <w:tr w14:paraId="5D38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A44E3A1">
            <w:pPr>
              <w:spacing w:before="40" w:after="40"/>
            </w:pPr>
            <w:r>
              <w:rPr>
                <w:rFonts w:ascii="Times New Roman" w:hAnsi="Times New Roman"/>
                <w:b w:val="0"/>
                <w:sz w:val="20"/>
              </w:rPr>
              <w:t>HTTPS / TLS</w:t>
            </w:r>
          </w:p>
        </w:tc>
        <w:tc>
          <w:tcPr>
            <w:tcW w:w="6768" w:type="dxa"/>
            <w:vAlign w:val="center"/>
          </w:tcPr>
          <w:p w14:paraId="79BAA3A0">
            <w:pPr>
              <w:spacing w:before="40" w:after="40"/>
            </w:pPr>
            <w:r>
              <w:rPr>
                <w:rFonts w:ascii="Times New Roman" w:hAnsi="Times New Roman"/>
                <w:b w:val="0"/>
                <w:sz w:val="20"/>
              </w:rPr>
              <w:t>Protection for data in transit between browser and API.</w:t>
            </w:r>
          </w:p>
        </w:tc>
      </w:tr>
    </w:tbl>
    <w:p w14:paraId="560F2240">
      <w:pPr>
        <w:spacing w:after="20"/>
      </w:pPr>
    </w:p>
    <w:p w14:paraId="330154E7">
      <w:pPr>
        <w:pStyle w:val="3"/>
      </w:pPr>
      <w:r>
        <w:t>2.2 System Architecture</w:t>
      </w:r>
    </w:p>
    <w:p w14:paraId="10F3940D">
      <w:pPr>
        <w:widowControl/>
        <w:jc w:val="both"/>
      </w:pPr>
      <w:r>
        <w:rPr>
          <w:i w:val="0"/>
        </w:rPr>
        <w:t>The architecture separates browser cryptography from server-side routing and persistence. The browser manages the user interface and private key; the Flask API authenticates requests and checks membership. Message storage contains ciphertext and envelopes instead of message plaintext. Conversation metadata, sender identity, timestamps, and message sizes remain operational metadata and should not be treated as secret.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344"/>
      </w:tblGrid>
      <w:tr w14:paraId="5041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173A31"/>
            <w:vAlign w:val="center"/>
          </w:tcPr>
          <w:p w14:paraId="7EBD373A">
            <w:pPr>
              <w:spacing w:before="40" w:after="40"/>
              <w:jc w:val="center"/>
            </w:pPr>
            <w:r>
              <w:rPr>
                <w:rFonts w:ascii="Times New Roman" w:hAnsi="Times New Roman"/>
                <w:b/>
                <w:color w:val="FFFFFF"/>
                <w:sz w:val="20"/>
              </w:rPr>
              <w:t>Layer</w:t>
            </w:r>
          </w:p>
        </w:tc>
        <w:tc>
          <w:tcPr>
            <w:tcW w:w="7344" w:type="dxa"/>
            <w:shd w:val="clear" w:color="auto" w:fill="173A31"/>
            <w:vAlign w:val="center"/>
          </w:tcPr>
          <w:p w14:paraId="14F4B608">
            <w:pPr>
              <w:spacing w:before="40" w:after="40"/>
              <w:jc w:val="center"/>
            </w:pPr>
            <w:r>
              <w:rPr>
                <w:rFonts w:ascii="Times New Roman" w:hAnsi="Times New Roman"/>
                <w:b/>
                <w:color w:val="FFFFFF"/>
                <w:sz w:val="20"/>
              </w:rPr>
              <w:t>Responsibilities</w:t>
            </w:r>
          </w:p>
        </w:tc>
      </w:tr>
      <w:tr w14:paraId="01D2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4F7F1"/>
            <w:vAlign w:val="center"/>
          </w:tcPr>
          <w:p w14:paraId="6E4F63D2">
            <w:pPr>
              <w:spacing w:before="40" w:after="40"/>
            </w:pPr>
            <w:r>
              <w:rPr>
                <w:rFonts w:ascii="Times New Roman" w:hAnsi="Times New Roman"/>
                <w:b w:val="0"/>
                <w:sz w:val="20"/>
              </w:rPr>
              <w:t>Browser UI</w:t>
            </w:r>
          </w:p>
        </w:tc>
        <w:tc>
          <w:tcPr>
            <w:tcW w:w="7344" w:type="dxa"/>
            <w:shd w:val="clear" w:color="auto" w:fill="F4F7F1"/>
            <w:vAlign w:val="center"/>
          </w:tcPr>
          <w:p w14:paraId="164F1F70">
            <w:pPr>
              <w:spacing w:before="40" w:after="40"/>
            </w:pPr>
            <w:r>
              <w:rPr>
                <w:rFonts w:ascii="Times New Roman" w:hAnsi="Times New Roman"/>
                <w:b w:val="0"/>
                <w:sz w:val="20"/>
              </w:rPr>
              <w:t>Registration/login, chat list, message composer, image selection, and display.</w:t>
            </w:r>
          </w:p>
        </w:tc>
      </w:tr>
      <w:tr w14:paraId="5E87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DA8AE93">
            <w:pPr>
              <w:spacing w:before="40" w:after="40"/>
            </w:pPr>
            <w:r>
              <w:rPr>
                <w:rFonts w:ascii="Times New Roman" w:hAnsi="Times New Roman"/>
                <w:b w:val="0"/>
                <w:sz w:val="20"/>
              </w:rPr>
              <w:t>Browser crypto</w:t>
            </w:r>
          </w:p>
        </w:tc>
        <w:tc>
          <w:tcPr>
            <w:tcW w:w="7344" w:type="dxa"/>
            <w:vAlign w:val="center"/>
          </w:tcPr>
          <w:p w14:paraId="1CA2627E">
            <w:pPr>
              <w:spacing w:before="40" w:after="40"/>
            </w:pPr>
            <w:r>
              <w:rPr>
                <w:rFonts w:ascii="Times New Roman" w:hAnsi="Times New Roman"/>
                <w:b w:val="0"/>
                <w:sz w:val="20"/>
              </w:rPr>
              <w:t>Generate or unlock identity keys; encrypt/decrypt each payload; build recipient envelopes.</w:t>
            </w:r>
          </w:p>
        </w:tc>
      </w:tr>
      <w:tr w14:paraId="03CF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4F7F1"/>
            <w:vAlign w:val="center"/>
          </w:tcPr>
          <w:p w14:paraId="4EB9042B">
            <w:pPr>
              <w:spacing w:before="40" w:after="40"/>
            </w:pPr>
            <w:r>
              <w:rPr>
                <w:rFonts w:ascii="Times New Roman" w:hAnsi="Times New Roman"/>
                <w:b w:val="0"/>
                <w:sz w:val="20"/>
              </w:rPr>
              <w:t>Flask API</w:t>
            </w:r>
          </w:p>
        </w:tc>
        <w:tc>
          <w:tcPr>
            <w:tcW w:w="7344" w:type="dxa"/>
            <w:shd w:val="clear" w:color="auto" w:fill="F4F7F1"/>
            <w:vAlign w:val="center"/>
          </w:tcPr>
          <w:p w14:paraId="4E07D92F">
            <w:pPr>
              <w:spacing w:before="40" w:after="40"/>
            </w:pPr>
            <w:r>
              <w:rPr>
                <w:rFonts w:ascii="Times New Roman" w:hAnsi="Times New Roman"/>
                <w:b w:val="0"/>
                <w:sz w:val="20"/>
              </w:rPr>
              <w:t>Authenticate sessions; enforce membership; validate message envelopes; provide request and conversation APIs.</w:t>
            </w:r>
          </w:p>
        </w:tc>
      </w:tr>
      <w:tr w14:paraId="6AE3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F2B980B">
            <w:pPr>
              <w:spacing w:before="40" w:after="40"/>
            </w:pPr>
            <w:r>
              <w:rPr>
                <w:rFonts w:ascii="Times New Roman" w:hAnsi="Times New Roman"/>
                <w:b w:val="0"/>
                <w:sz w:val="20"/>
              </w:rPr>
              <w:t>Persistence</w:t>
            </w:r>
          </w:p>
        </w:tc>
        <w:tc>
          <w:tcPr>
            <w:tcW w:w="7344" w:type="dxa"/>
            <w:vAlign w:val="center"/>
          </w:tcPr>
          <w:p w14:paraId="161DCDB3">
            <w:pPr>
              <w:spacing w:before="40" w:after="40"/>
            </w:pPr>
            <w:r>
              <w:rPr>
                <w:rFonts w:ascii="Times New Roman" w:hAnsi="Times New Roman"/>
                <w:b w:val="0"/>
                <w:sz w:val="20"/>
              </w:rPr>
              <w:t>SQLite for local mode; Firebase Realtime Database for hosted message records; account metadata synchronized by the server.</w:t>
            </w:r>
          </w:p>
        </w:tc>
      </w:tr>
      <w:tr w14:paraId="794D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4F7F1"/>
            <w:vAlign w:val="center"/>
          </w:tcPr>
          <w:p w14:paraId="31D5CD51">
            <w:pPr>
              <w:spacing w:before="40" w:after="40"/>
            </w:pPr>
            <w:r>
              <w:rPr>
                <w:rFonts w:ascii="Times New Roman" w:hAnsi="Times New Roman"/>
                <w:b w:val="0"/>
                <w:sz w:val="20"/>
              </w:rPr>
              <w:t>Hosting</w:t>
            </w:r>
          </w:p>
        </w:tc>
        <w:tc>
          <w:tcPr>
            <w:tcW w:w="7344" w:type="dxa"/>
            <w:shd w:val="clear" w:color="auto" w:fill="F4F7F1"/>
            <w:vAlign w:val="center"/>
          </w:tcPr>
          <w:p w14:paraId="7FF51724">
            <w:pPr>
              <w:spacing w:before="40" w:after="40"/>
            </w:pPr>
            <w:r>
              <w:rPr>
                <w:rFonts w:ascii="Times New Roman" w:hAnsi="Times New Roman"/>
                <w:b w:val="0"/>
                <w:sz w:val="20"/>
              </w:rPr>
              <w:t>GitHub Pages serves frontend assets; Render serves the API; HTTPS protects network transport.</w:t>
            </w:r>
          </w:p>
        </w:tc>
      </w:tr>
    </w:tbl>
    <w:p w14:paraId="4C667A47">
      <w:pPr>
        <w:spacing w:after="20"/>
      </w:pPr>
    </w:p>
    <w:p w14:paraId="6F179A54">
      <w:pPr>
        <w:spacing w:after="160"/>
        <w:jc w:val="center"/>
      </w:pPr>
      <w:r>
        <w:rPr>
          <w:rFonts w:ascii="Times New Roman" w:hAnsi="Times New Roman"/>
          <w:b/>
          <w:color w:val="173A31"/>
          <w:sz w:val="20"/>
        </w:rPr>
        <w:t>Fig. 1  Commonroom high-level system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456"/>
        <w:gridCol w:w="3024"/>
      </w:tblGrid>
      <w:tr w14:paraId="6090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173A31"/>
            <w:vAlign w:val="center"/>
          </w:tcPr>
          <w:p w14:paraId="35B02C04">
            <w:pPr>
              <w:spacing w:before="40" w:after="40"/>
              <w:jc w:val="center"/>
            </w:pPr>
            <w:r>
              <w:rPr>
                <w:rFonts w:ascii="Times New Roman" w:hAnsi="Times New Roman"/>
                <w:b/>
                <w:color w:val="FFFFFF"/>
                <w:sz w:val="20"/>
              </w:rPr>
              <w:t>Browser: UI + Web Crypto</w:t>
            </w:r>
          </w:p>
        </w:tc>
        <w:tc>
          <w:tcPr>
            <w:tcW w:w="3456" w:type="dxa"/>
            <w:shd w:val="clear" w:color="auto" w:fill="173A31"/>
            <w:vAlign w:val="center"/>
          </w:tcPr>
          <w:p w14:paraId="69CA9480">
            <w:pPr>
              <w:spacing w:before="40" w:after="40"/>
              <w:jc w:val="center"/>
            </w:pPr>
            <w:r>
              <w:rPr>
                <w:rFonts w:ascii="Times New Roman" w:hAnsi="Times New Roman"/>
                <w:b/>
                <w:color w:val="FFFFFF"/>
                <w:sz w:val="20"/>
              </w:rPr>
              <w:t>HTTPS API: Flask</w:t>
            </w:r>
          </w:p>
        </w:tc>
        <w:tc>
          <w:tcPr>
            <w:tcW w:w="3024" w:type="dxa"/>
            <w:shd w:val="clear" w:color="auto" w:fill="173A31"/>
            <w:vAlign w:val="center"/>
          </w:tcPr>
          <w:p w14:paraId="4FCC75A2">
            <w:pPr>
              <w:spacing w:before="40" w:after="40"/>
              <w:jc w:val="center"/>
            </w:pPr>
            <w:r>
              <w:rPr>
                <w:rFonts w:ascii="Times New Roman" w:hAnsi="Times New Roman"/>
                <w:b/>
                <w:color w:val="FFFFFF"/>
                <w:sz w:val="20"/>
              </w:rPr>
              <w:t>Storage</w:t>
            </w:r>
          </w:p>
        </w:tc>
      </w:tr>
      <w:tr w14:paraId="78D9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4F7F1"/>
            <w:vAlign w:val="center"/>
          </w:tcPr>
          <w:p w14:paraId="30D710AE">
            <w:pPr>
              <w:spacing w:before="40" w:after="40"/>
            </w:pPr>
            <w:r>
              <w:rPr>
                <w:rFonts w:ascii="Times New Roman" w:hAnsi="Times New Roman"/>
                <w:b w:val="0"/>
                <w:sz w:val="20"/>
              </w:rPr>
              <w:t>Encrypt payload and wrap AES key for members</w:t>
            </w:r>
          </w:p>
        </w:tc>
        <w:tc>
          <w:tcPr>
            <w:tcW w:w="3456" w:type="dxa"/>
            <w:shd w:val="clear" w:color="auto" w:fill="F4F7F1"/>
            <w:vAlign w:val="center"/>
          </w:tcPr>
          <w:p w14:paraId="078BAD96">
            <w:pPr>
              <w:spacing w:before="40" w:after="40"/>
            </w:pPr>
            <w:r>
              <w:rPr>
                <w:rFonts w:ascii="Times New Roman" w:hAnsi="Times New Roman"/>
                <w:b w:val="0"/>
                <w:sz w:val="20"/>
              </w:rPr>
              <w:t>Authenticate user; verify conversation membership and envelope recipients</w:t>
            </w:r>
          </w:p>
        </w:tc>
        <w:tc>
          <w:tcPr>
            <w:tcW w:w="3024" w:type="dxa"/>
            <w:shd w:val="clear" w:color="auto" w:fill="F4F7F1"/>
            <w:vAlign w:val="center"/>
          </w:tcPr>
          <w:p w14:paraId="3BF502E0">
            <w:pPr>
              <w:spacing w:before="40" w:after="40"/>
            </w:pPr>
            <w:r>
              <w:rPr>
                <w:rFonts w:ascii="Times New Roman" w:hAnsi="Times New Roman"/>
                <w:b w:val="0"/>
                <w:sz w:val="20"/>
              </w:rPr>
              <w:t>Store ciphertext, IV, key envelopes, kind, sender, and timestamp</w:t>
            </w:r>
          </w:p>
        </w:tc>
      </w:tr>
      <w:tr w14:paraId="336A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1B6841B">
            <w:pPr>
              <w:spacing w:before="40" w:after="40"/>
            </w:pPr>
            <w:r>
              <w:rPr>
                <w:rFonts w:ascii="Times New Roman" w:hAnsi="Times New Roman"/>
                <w:b w:val="0"/>
                <w:sz w:val="20"/>
              </w:rPr>
              <w:t>Decrypt only with local private key</w:t>
            </w:r>
          </w:p>
        </w:tc>
        <w:tc>
          <w:tcPr>
            <w:tcW w:w="3456" w:type="dxa"/>
            <w:vAlign w:val="center"/>
          </w:tcPr>
          <w:p w14:paraId="5311717C">
            <w:pPr>
              <w:spacing w:before="40" w:after="40"/>
            </w:pPr>
            <w:r>
              <w:rPr>
                <w:rFonts w:ascii="Times New Roman" w:hAnsi="Times New Roman"/>
                <w:b w:val="0"/>
                <w:sz w:val="20"/>
              </w:rPr>
              <w:t>Return records only to an authorized conversation member</w:t>
            </w:r>
          </w:p>
        </w:tc>
        <w:tc>
          <w:tcPr>
            <w:tcW w:w="3024" w:type="dxa"/>
            <w:vAlign w:val="center"/>
          </w:tcPr>
          <w:p w14:paraId="536CCBC0">
            <w:pPr>
              <w:spacing w:before="40" w:after="40"/>
            </w:pPr>
            <w:r>
              <w:rPr>
                <w:rFonts w:ascii="Times New Roman" w:hAnsi="Times New Roman"/>
                <w:b w:val="0"/>
                <w:sz w:val="20"/>
              </w:rPr>
              <w:t>SQLite locally; Firebase Realtime Database when hosted</w:t>
            </w:r>
          </w:p>
        </w:tc>
      </w:tr>
    </w:tbl>
    <w:p w14:paraId="4D65E8C3">
      <w:pPr>
        <w:spacing w:after="20"/>
      </w:pPr>
    </w:p>
    <w:p w14:paraId="6488C313">
      <w:pPr>
        <w:pStyle w:val="3"/>
      </w:pPr>
      <w:r>
        <w:t>2.3 Account Identity and Key Management</w:t>
      </w:r>
    </w:p>
    <w:p w14:paraId="2A302320">
      <w:pPr>
        <w:widowControl/>
        <w:jc w:val="both"/>
      </w:pPr>
      <w:r>
        <w:rPr>
          <w:i w:val="0"/>
        </w:rPr>
        <w:t>On registration, the browser generates a 2048-bit RSA-OAEP key pair using SHA-256. The public key is registered with the account, while the private key is exported only in the browser to create a password-encrypted backup. PBKDF2 with 310,000 SHA-256 iterations derives a wrapping key; AES-256-GCM encrypts the private JWK before the backup is stored locally or submitted to the server. On login, the browser retrieves a backup, unlocks it with the password, and verifies that the recovered RSA public parameters match the account public key before using the private key.</w:t>
      </w:r>
    </w:p>
    <w:p w14:paraId="2D94C1B3">
      <w:pPr>
        <w:widowControl/>
        <w:jc w:val="both"/>
      </w:pPr>
      <w:r>
        <w:rPr>
          <w:i w:val="0"/>
        </w:rPr>
        <w:t>A user should keep an independent backup file. If the private key is lost and no matching backup exists, the server cannot reconstruct it from message ciphertext. Changing or recreating an identity key does not decrypt older messages encrypted to the previous public key.</w:t>
      </w:r>
    </w:p>
    <w:p w14:paraId="4470576C">
      <w:pPr>
        <w:pStyle w:val="3"/>
      </w:pPr>
      <w:r>
        <w:t>2.4 Message Encryption and Decryption</w:t>
      </w:r>
    </w:p>
    <w:p w14:paraId="5C269716">
      <w:pPr>
        <w:pStyle w:val="29"/>
        <w:spacing w:after="60"/>
        <w:ind w:left="360"/>
      </w:pPr>
      <w:r>
        <w:t>The sender writes a message or selects an image in a conversation.</w:t>
      </w:r>
    </w:p>
    <w:p w14:paraId="3AB93BBD">
      <w:pPr>
        <w:pStyle w:val="29"/>
        <w:spacing w:after="60"/>
        <w:ind w:left="360"/>
      </w:pPr>
      <w:r>
        <w:t>The browser creates a fresh AES-256-GCM content key and a 12-byte IV for that payload.</w:t>
      </w:r>
    </w:p>
    <w:p w14:paraId="2C094A2F">
      <w:pPr>
        <w:pStyle w:val="29"/>
        <w:spacing w:after="60"/>
        <w:ind w:left="360"/>
      </w:pPr>
      <w:r>
        <w:t>The message bytes are encrypted with AES-GCM in the browser.</w:t>
      </w:r>
    </w:p>
    <w:p w14:paraId="5A8CB780">
      <w:pPr>
        <w:pStyle w:val="29"/>
        <w:spacing w:after="60"/>
        <w:ind w:left="360"/>
      </w:pPr>
      <w:r>
        <w:t>The AES content key is separately wrapped using each conversation member?s RSA-OAEP public key.</w:t>
      </w:r>
    </w:p>
    <w:p w14:paraId="1250CF86">
      <w:pPr>
        <w:pStyle w:val="29"/>
        <w:spacing w:after="60"/>
        <w:ind w:left="360"/>
      </w:pPr>
      <w:r>
        <w:t>The API validates that the sender is a member and that the envelope recipient IDs match the conversation membership.</w:t>
      </w:r>
    </w:p>
    <w:p w14:paraId="7E1301A0">
      <w:pPr>
        <w:pStyle w:val="29"/>
        <w:spacing w:after="60"/>
        <w:ind w:left="360"/>
      </w:pPr>
      <w:r>
        <w:t>The server stores or returns ciphertext, IV, envelopes, and message metadata; it does not need plaintext to route the message.</w:t>
      </w:r>
    </w:p>
    <w:p w14:paraId="35664D1C">
      <w:pPr>
        <w:pStyle w:val="29"/>
        <w:spacing w:after="60"/>
        <w:ind w:left="360"/>
      </w:pPr>
      <w:r>
        <w:t>A recipient unwraps their envelope with the local private key and decrypts the payload in the browser.</w:t>
      </w:r>
    </w:p>
    <w:p w14:paraId="5D77F3BD">
      <w:pPr>
        <w:spacing w:after="160"/>
        <w:jc w:val="center"/>
      </w:pPr>
      <w:r>
        <w:rPr>
          <w:rFonts w:ascii="Times New Roman" w:hAnsi="Times New Roman"/>
          <w:b/>
          <w:color w:val="173A31"/>
          <w:sz w:val="20"/>
        </w:rPr>
        <w:t>Fig. 2  End-to-end encrypted message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312"/>
      </w:tblGrid>
      <w:tr w14:paraId="5AB83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173A31"/>
            <w:vAlign w:val="center"/>
          </w:tcPr>
          <w:p w14:paraId="188F4AF4">
            <w:pPr>
              <w:spacing w:before="40" w:after="40"/>
              <w:jc w:val="center"/>
            </w:pPr>
            <w:r>
              <w:rPr>
                <w:rFonts w:ascii="Times New Roman" w:hAnsi="Times New Roman"/>
                <w:b/>
                <w:color w:val="FFFFFF"/>
                <w:sz w:val="20"/>
              </w:rPr>
              <w:t>Sender browser</w:t>
            </w:r>
          </w:p>
        </w:tc>
        <w:tc>
          <w:tcPr>
            <w:tcW w:w="3168" w:type="dxa"/>
            <w:shd w:val="clear" w:color="auto" w:fill="173A31"/>
            <w:vAlign w:val="center"/>
          </w:tcPr>
          <w:p w14:paraId="65C02FAE">
            <w:pPr>
              <w:spacing w:before="40" w:after="40"/>
              <w:jc w:val="center"/>
            </w:pPr>
            <w:r>
              <w:rPr>
                <w:rFonts w:ascii="Times New Roman" w:hAnsi="Times New Roman"/>
                <w:b/>
                <w:color w:val="FFFFFF"/>
                <w:sz w:val="20"/>
              </w:rPr>
              <w:t>Server</w:t>
            </w:r>
          </w:p>
        </w:tc>
        <w:tc>
          <w:tcPr>
            <w:tcW w:w="3312" w:type="dxa"/>
            <w:shd w:val="clear" w:color="auto" w:fill="173A31"/>
            <w:vAlign w:val="center"/>
          </w:tcPr>
          <w:p w14:paraId="69059A3E">
            <w:pPr>
              <w:spacing w:before="40" w:after="40"/>
              <w:jc w:val="center"/>
            </w:pPr>
            <w:r>
              <w:rPr>
                <w:rFonts w:ascii="Times New Roman" w:hAnsi="Times New Roman"/>
                <w:b/>
                <w:color w:val="FFFFFF"/>
                <w:sz w:val="20"/>
              </w:rPr>
              <w:t>Recipient browser</w:t>
            </w:r>
          </w:p>
        </w:tc>
      </w:tr>
      <w:tr w14:paraId="21AD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4F7F1"/>
            <w:vAlign w:val="center"/>
          </w:tcPr>
          <w:p w14:paraId="26AF0D79">
            <w:pPr>
              <w:spacing w:before="40" w:after="40"/>
            </w:pPr>
            <w:r>
              <w:rPr>
                <w:rFonts w:ascii="Times New Roman" w:hAnsi="Times New Roman"/>
                <w:b w:val="0"/>
                <w:sz w:val="20"/>
              </w:rPr>
              <w:t>Plaintext ? AES-GCM ciphertext + IV ? per-member RSA-OAEP envelopes</w:t>
            </w:r>
          </w:p>
        </w:tc>
        <w:tc>
          <w:tcPr>
            <w:tcW w:w="3168" w:type="dxa"/>
            <w:shd w:val="clear" w:color="auto" w:fill="F4F7F1"/>
            <w:vAlign w:val="center"/>
          </w:tcPr>
          <w:p w14:paraId="083A37FC">
            <w:pPr>
              <w:spacing w:before="40" w:after="40"/>
            </w:pPr>
            <w:r>
              <w:rPr>
                <w:rFonts w:ascii="Times New Roman" w:hAnsi="Times New Roman"/>
                <w:b w:val="0"/>
                <w:sz w:val="20"/>
              </w:rPr>
              <w:t>Validate membership; persist and return encrypted record</w:t>
            </w:r>
          </w:p>
        </w:tc>
        <w:tc>
          <w:tcPr>
            <w:tcW w:w="3312" w:type="dxa"/>
            <w:shd w:val="clear" w:color="auto" w:fill="F4F7F1"/>
            <w:vAlign w:val="center"/>
          </w:tcPr>
          <w:p w14:paraId="30FFD916">
            <w:pPr>
              <w:spacing w:before="40" w:after="40"/>
            </w:pPr>
            <w:r>
              <w:rPr>
                <w:rFonts w:ascii="Times New Roman" w:hAnsi="Times New Roman"/>
                <w:b w:val="0"/>
                <w:sz w:val="20"/>
              </w:rPr>
              <w:t>Select own envelope ? RSA decrypt ? AES-GCM decrypt ? display plaintext</w:t>
            </w:r>
          </w:p>
        </w:tc>
      </w:tr>
    </w:tbl>
    <w:p w14:paraId="5D0D13FB">
      <w:pPr>
        <w:spacing w:after="20"/>
      </w:pPr>
    </w:p>
    <w:p w14:paraId="5D6AC173">
      <w:pPr>
        <w:pStyle w:val="3"/>
      </w:pPr>
      <w:r>
        <w:t>2.5 Conversation and Request Workflow</w:t>
      </w:r>
    </w:p>
    <w:p w14:paraId="72AE3149">
      <w:pPr>
        <w:widowControl/>
        <w:jc w:val="both"/>
      </w:pPr>
      <w:r>
        <w:rPr>
          <w:i w:val="0"/>
        </w:rPr>
        <w:t>Users identify one another through an eight-character account ID. A chat request is sent and accepted before starting a direct chat. Conversation records define the participating account IDs. Group creation validates the selected member IDs and stores the conversation membership. The frontend displays only conversations returned for the signed-in user, and the message endpoint checks conversation membership before reading or writing records.</w:t>
      </w:r>
    </w:p>
    <w:p w14:paraId="68A868C4">
      <w:pPr>
        <w:pStyle w:val="3"/>
      </w:pPr>
      <w:r>
        <w:t>2.6 Data Storage and Message Format</w:t>
      </w:r>
    </w:p>
    <w:p w14:paraId="3614F35F">
      <w:pPr>
        <w:widowControl/>
        <w:jc w:val="both"/>
      </w:pPr>
      <w:r>
        <w:rPr>
          <w:i w:val="0"/>
        </w:rPr>
        <w:t>A message record contains an identifier, conversation ID, sender ID and name, ciphertext, IV, recipient envelope map, message kind, optional attachment name, and creation time. The server uses SQLite for local operation and Firebase Realtime Database for the hosted message store. Account and conversation metadata are synchronized separately from message content. These records still reveal some metadata, including who participated and when messages were sent.</w:t>
      </w:r>
    </w:p>
    <w:p w14:paraId="09AB62B5">
      <w:pPr>
        <w:pStyle w:val="3"/>
      </w:pPr>
      <w:r>
        <w:t>2.7 Deletion and Access Control</w:t>
      </w:r>
    </w:p>
    <w:p w14:paraId="666A9A0E">
      <w:pPr>
        <w:widowControl/>
        <w:jc w:val="both"/>
      </w:pPr>
      <w:r>
        <w:rPr>
          <w:i w:val="0"/>
        </w:rPr>
        <w:t>The current project includes a delete-for-everyone action for messages sent by the signed-in account. The API verifies conversation membership and message ownership before deletion. A deletion event is made available to other members so that open clients remove the corresponding rendered message during polling. Ordinary message retrieval is restricted to conversation members; the encrypted-record viewer requires a separate administrator allowlist.</w:t>
      </w:r>
    </w:p>
    <w:p w14:paraId="6AABF9A9">
      <w:pPr>
        <w:pStyle w:val="3"/>
      </w:pPr>
      <w:r>
        <w:t>2.8 Security and Operational Considerations</w:t>
      </w:r>
    </w:p>
    <w:p w14:paraId="331DA762">
      <w:pPr>
        <w:pStyle w:val="23"/>
        <w:spacing w:after="60"/>
        <w:ind w:left="360"/>
      </w:pPr>
      <w:r>
        <w:t>Use the hosted HTTPS endpoint and keep TLS certificates valid; do not send account passwords or private keys through insecure channels.</w:t>
      </w:r>
    </w:p>
    <w:p w14:paraId="282A9F9F">
      <w:pPr>
        <w:pStyle w:val="23"/>
        <w:spacing w:after="60"/>
        <w:ind w:left="360"/>
      </w:pPr>
      <w:r>
        <w:t>The server can see account/conversation metadata, message size and timing, ciphertext, and wrapped key envelopes.</w:t>
      </w:r>
    </w:p>
    <w:p w14:paraId="087B54C2">
      <w:pPr>
        <w:pStyle w:val="23"/>
        <w:spacing w:after="60"/>
        <w:ind w:left="360"/>
      </w:pPr>
      <w:r>
        <w:t>Encrypted key backups are sensitive: access to both a backup and its password can expose the private key.</w:t>
      </w:r>
    </w:p>
    <w:p w14:paraId="3EE4F87D">
      <w:pPr>
        <w:pStyle w:val="23"/>
        <w:spacing w:after="60"/>
        <w:ind w:left="360"/>
      </w:pPr>
      <w:r>
        <w:t>Users must preserve the correct private key across browsers and devices to decrypt older messages.</w:t>
      </w:r>
    </w:p>
    <w:p w14:paraId="1E13137B">
      <w:pPr>
        <w:pStyle w:val="23"/>
        <w:spacing w:after="60"/>
        <w:ind w:left="360"/>
      </w:pPr>
      <w:r>
        <w:t>Firebase and Render availability, credentials, configuration, and backups affect service continuity.</w:t>
      </w:r>
    </w:p>
    <w:p w14:paraId="4CB6716A">
      <w:pPr>
        <w:pStyle w:val="23"/>
        <w:spacing w:after="60"/>
        <w:ind w:left="360"/>
      </w:pPr>
      <w:r>
        <w:t>The project has not undergone an independent cryptographic or penetration security audit; production claims require further review.</w:t>
      </w:r>
    </w:p>
    <w:p w14:paraId="56FA0001">
      <w:r>
        <w:br w:type="page"/>
      </w:r>
    </w:p>
    <w:p w14:paraId="75CBDEFE">
      <w:pPr>
        <w:pStyle w:val="2"/>
      </w:pPr>
      <w:r>
        <w:t>CHAPTER 3: SYSTEM FLOWCHART</w:t>
      </w:r>
    </w:p>
    <w:p w14:paraId="59F6F043">
      <w:pPr>
        <w:widowControl/>
        <w:jc w:val="both"/>
      </w:pPr>
      <w:r>
        <w:rPr>
          <w:i w:val="0"/>
        </w:rPr>
        <w:t>The following flow summarizes registration, protected message submission, storage, and recipient display. The flow is based on the implemented web/API architecture; it is not an offline peer-to-peer routing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0E0A8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D9EAD3"/>
            <w:vAlign w:val="center"/>
          </w:tcPr>
          <w:p w14:paraId="648EF07D">
            <w:pPr>
              <w:spacing w:before="40" w:after="40"/>
              <w:jc w:val="center"/>
            </w:pPr>
            <w:r>
              <w:rPr>
                <w:rFonts w:ascii="Times New Roman" w:hAnsi="Times New Roman"/>
                <w:b/>
                <w:color w:val="173A31"/>
                <w:sz w:val="20"/>
              </w:rPr>
              <w:t>START</w:t>
            </w:r>
          </w:p>
        </w:tc>
      </w:tr>
      <w:tr w14:paraId="243D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EAF1E3"/>
            <w:vAlign w:val="center"/>
          </w:tcPr>
          <w:p w14:paraId="1C03DCFB">
            <w:pPr>
              <w:spacing w:before="40" w:after="40"/>
              <w:jc w:val="center"/>
            </w:pPr>
            <w:r>
              <w:rPr>
                <w:rFonts w:ascii="Times New Roman" w:hAnsi="Times New Roman"/>
                <w:b w:val="0"/>
                <w:color w:val="173A31"/>
                <w:sz w:val="20"/>
              </w:rPr>
              <w:t>Open Commonroom in a secure browser context</w:t>
            </w:r>
          </w:p>
        </w:tc>
      </w:tr>
      <w:tr w14:paraId="6820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EAF1E3"/>
            <w:vAlign w:val="center"/>
          </w:tcPr>
          <w:p w14:paraId="5CB793B0">
            <w:pPr>
              <w:spacing w:before="40" w:after="40"/>
              <w:jc w:val="center"/>
            </w:pPr>
            <w:r>
              <w:rPr>
                <w:rFonts w:ascii="Times New Roman" w:hAnsi="Times New Roman"/>
                <w:b w:val="0"/>
                <w:color w:val="173A31"/>
                <w:sz w:val="20"/>
              </w:rPr>
              <w:t>Register or sign in; unlock the matching private-key backup</w:t>
            </w:r>
          </w:p>
        </w:tc>
      </w:tr>
      <w:tr w14:paraId="62D8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EAF1E3"/>
            <w:vAlign w:val="center"/>
          </w:tcPr>
          <w:p w14:paraId="2CE8593A">
            <w:pPr>
              <w:spacing w:before="40" w:after="40"/>
              <w:jc w:val="center"/>
            </w:pPr>
            <w:r>
              <w:rPr>
                <w:rFonts w:ascii="Times New Roman" w:hAnsi="Times New Roman"/>
                <w:b w:val="0"/>
                <w:color w:val="173A31"/>
                <w:sz w:val="20"/>
              </w:rPr>
              <w:t>Select a conversation returned for the signed-in account</w:t>
            </w:r>
          </w:p>
        </w:tc>
      </w:tr>
      <w:tr w14:paraId="417A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EAF1E3"/>
            <w:vAlign w:val="center"/>
          </w:tcPr>
          <w:p w14:paraId="459C1469">
            <w:pPr>
              <w:spacing w:before="40" w:after="40"/>
              <w:jc w:val="center"/>
            </w:pPr>
            <w:r>
              <w:rPr>
                <w:rFonts w:ascii="Times New Roman" w:hAnsi="Times New Roman"/>
                <w:b w:val="0"/>
                <w:color w:val="173A31"/>
                <w:sz w:val="20"/>
              </w:rPr>
              <w:t>Compose text / emoji or select an image</w:t>
            </w:r>
          </w:p>
        </w:tc>
      </w:tr>
      <w:tr w14:paraId="0F04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D9EAD3"/>
            <w:vAlign w:val="center"/>
          </w:tcPr>
          <w:p w14:paraId="083E0570">
            <w:pPr>
              <w:spacing w:before="40" w:after="40"/>
              <w:jc w:val="center"/>
            </w:pPr>
            <w:r>
              <w:rPr>
                <w:rFonts w:ascii="Times New Roman" w:hAnsi="Times New Roman"/>
                <w:b w:val="0"/>
                <w:color w:val="173A31"/>
                <w:sz w:val="20"/>
              </w:rPr>
              <w:t>Browser encrypts payload with fresh AES-256-GCM key and IV</w:t>
            </w:r>
          </w:p>
        </w:tc>
      </w:tr>
      <w:tr w14:paraId="53BA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D9EAD3"/>
            <w:vAlign w:val="center"/>
          </w:tcPr>
          <w:p w14:paraId="0A8063FE">
            <w:pPr>
              <w:spacing w:before="40" w:after="40"/>
              <w:jc w:val="center"/>
            </w:pPr>
            <w:r>
              <w:rPr>
                <w:rFonts w:ascii="Times New Roman" w:hAnsi="Times New Roman"/>
                <w:b w:val="0"/>
                <w:color w:val="173A31"/>
                <w:sz w:val="20"/>
              </w:rPr>
              <w:t>Wrap the AES key for every conversation member using RSA-OAEP</w:t>
            </w:r>
          </w:p>
        </w:tc>
      </w:tr>
      <w:tr w14:paraId="2C11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EAF1E3"/>
            <w:vAlign w:val="center"/>
          </w:tcPr>
          <w:p w14:paraId="344C8CC5">
            <w:pPr>
              <w:spacing w:before="40" w:after="40"/>
              <w:jc w:val="center"/>
            </w:pPr>
            <w:r>
              <w:rPr>
                <w:rFonts w:ascii="Times New Roman" w:hAnsi="Times New Roman"/>
                <w:b w:val="0"/>
                <w:color w:val="173A31"/>
                <w:sz w:val="20"/>
              </w:rPr>
              <w:t>Send encrypted record to Flask API over HTTPS</w:t>
            </w:r>
          </w:p>
        </w:tc>
      </w:tr>
      <w:tr w14:paraId="3888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EAF1E3"/>
            <w:vAlign w:val="center"/>
          </w:tcPr>
          <w:p w14:paraId="01D4737D">
            <w:pPr>
              <w:spacing w:before="40" w:after="40"/>
              <w:jc w:val="center"/>
            </w:pPr>
            <w:r>
              <w:rPr>
                <w:rFonts w:ascii="Times New Roman" w:hAnsi="Times New Roman"/>
                <w:b w:val="0"/>
                <w:color w:val="173A31"/>
                <w:sz w:val="20"/>
              </w:rPr>
              <w:t>API validates session, membership, and envelope recipients</w:t>
            </w:r>
          </w:p>
        </w:tc>
      </w:tr>
      <w:tr w14:paraId="06E6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FFF2CC"/>
            <w:vAlign w:val="center"/>
          </w:tcPr>
          <w:p w14:paraId="5EC2861D">
            <w:pPr>
              <w:spacing w:before="40" w:after="40"/>
              <w:jc w:val="center"/>
            </w:pPr>
            <w:r>
              <w:rPr>
                <w:rFonts w:ascii="Times New Roman" w:hAnsi="Times New Roman"/>
                <w:b w:val="0"/>
                <w:color w:val="173A31"/>
                <w:sz w:val="20"/>
              </w:rPr>
              <w:t>Is sender authorized and are recipients correct?</w:t>
            </w:r>
          </w:p>
        </w:tc>
      </w:tr>
      <w:tr w14:paraId="286D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F4CCCC"/>
            <w:vAlign w:val="center"/>
          </w:tcPr>
          <w:p w14:paraId="0A38198B">
            <w:pPr>
              <w:spacing w:before="40" w:after="40"/>
              <w:jc w:val="center"/>
            </w:pPr>
            <w:r>
              <w:rPr>
                <w:rFonts w:ascii="Times New Roman" w:hAnsi="Times New Roman"/>
                <w:b w:val="0"/>
                <w:sz w:val="20"/>
              </w:rPr>
              <w:t>NO: reject request and return an error</w:t>
            </w:r>
          </w:p>
        </w:tc>
      </w:tr>
      <w:tr w14:paraId="4145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D9EAD3"/>
            <w:vAlign w:val="center"/>
          </w:tcPr>
          <w:p w14:paraId="078A8682">
            <w:pPr>
              <w:spacing w:before="40" w:after="40"/>
              <w:jc w:val="center"/>
            </w:pPr>
            <w:r>
              <w:rPr>
                <w:rFonts w:ascii="Times New Roman" w:hAnsi="Times New Roman"/>
                <w:b w:val="0"/>
                <w:color w:val="173A31"/>
                <w:sz w:val="20"/>
              </w:rPr>
              <w:t>YES: store encrypted record in configured message store</w:t>
            </w:r>
          </w:p>
        </w:tc>
      </w:tr>
      <w:tr w14:paraId="2ECF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EAF1E3"/>
            <w:vAlign w:val="center"/>
          </w:tcPr>
          <w:p w14:paraId="6137FC03">
            <w:pPr>
              <w:spacing w:before="40" w:after="40"/>
              <w:jc w:val="center"/>
            </w:pPr>
            <w:r>
              <w:rPr>
                <w:rFonts w:ascii="Times New Roman" w:hAnsi="Times New Roman"/>
                <w:b w:val="0"/>
                <w:color w:val="173A31"/>
                <w:sz w:val="20"/>
              </w:rPr>
              <w:t>Recipient requests messages for that conversation</w:t>
            </w:r>
          </w:p>
        </w:tc>
      </w:tr>
      <w:tr w14:paraId="713A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D9EAD3"/>
            <w:vAlign w:val="center"/>
          </w:tcPr>
          <w:p w14:paraId="30623190">
            <w:pPr>
              <w:spacing w:before="40" w:after="40"/>
              <w:jc w:val="center"/>
            </w:pPr>
            <w:r>
              <w:rPr>
                <w:rFonts w:ascii="Times New Roman" w:hAnsi="Times New Roman"/>
                <w:b w:val="0"/>
                <w:color w:val="173A31"/>
                <w:sz w:val="20"/>
              </w:rPr>
              <w:t>Recipient unwraps key and decrypts in browser</w:t>
            </w:r>
          </w:p>
        </w:tc>
      </w:tr>
      <w:tr w14:paraId="5BAF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EAF1E3"/>
            <w:vAlign w:val="center"/>
          </w:tcPr>
          <w:p w14:paraId="50E7EF40">
            <w:pPr>
              <w:spacing w:before="40" w:after="40"/>
              <w:jc w:val="center"/>
            </w:pPr>
            <w:r>
              <w:rPr>
                <w:rFonts w:ascii="Times New Roman" w:hAnsi="Times New Roman"/>
                <w:b w:val="0"/>
                <w:color w:val="173A31"/>
                <w:sz w:val="20"/>
              </w:rPr>
              <w:t>Update conversation UI; continue polling for new records/deletions</w:t>
            </w:r>
          </w:p>
        </w:tc>
      </w:tr>
      <w:tr w14:paraId="32591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2" w:type="dxa"/>
            <w:shd w:val="clear" w:color="auto" w:fill="D9EAD3"/>
            <w:vAlign w:val="center"/>
          </w:tcPr>
          <w:p w14:paraId="48EE9498">
            <w:pPr>
              <w:spacing w:before="40" w:after="40"/>
              <w:jc w:val="center"/>
            </w:pPr>
            <w:r>
              <w:rPr>
                <w:rFonts w:ascii="Times New Roman" w:hAnsi="Times New Roman"/>
                <w:b/>
                <w:color w:val="173A31"/>
                <w:sz w:val="20"/>
              </w:rPr>
              <w:t>END / wait for next user action</w:t>
            </w:r>
          </w:p>
        </w:tc>
      </w:tr>
    </w:tbl>
    <w:p w14:paraId="33E61182">
      <w:pPr>
        <w:spacing w:after="160"/>
        <w:jc w:val="center"/>
      </w:pPr>
      <w:r>
        <w:rPr>
          <w:rFonts w:ascii="Times New Roman" w:hAnsi="Times New Roman"/>
          <w:b/>
          <w:color w:val="173A31"/>
          <w:sz w:val="20"/>
        </w:rPr>
        <w:t>Fig. 3  Commonroom registration and encrypted message workflow</w:t>
      </w:r>
    </w:p>
    <w:p w14:paraId="3211FF2A">
      <w:r>
        <w:br w:type="page"/>
      </w:r>
    </w:p>
    <w:p w14:paraId="4FB23CFB">
      <w:pPr>
        <w:pStyle w:val="2"/>
      </w:pPr>
      <w:r>
        <w:t>CHAPTER 4: RESULTS AND DISCUSSION</w:t>
      </w:r>
    </w:p>
    <w:p w14:paraId="02B1E66D">
      <w:pPr>
        <w:pStyle w:val="3"/>
      </w:pPr>
      <w:r>
        <w:t>4.1 Implemented Application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768"/>
      </w:tblGrid>
      <w:tr w14:paraId="1D4D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73A31"/>
            <w:vAlign w:val="center"/>
          </w:tcPr>
          <w:p w14:paraId="27CFA855">
            <w:pPr>
              <w:spacing w:before="40" w:after="40"/>
              <w:jc w:val="center"/>
            </w:pPr>
            <w:r>
              <w:rPr>
                <w:rFonts w:ascii="Times New Roman" w:hAnsi="Times New Roman"/>
                <w:b/>
                <w:color w:val="FFFFFF"/>
                <w:sz w:val="20"/>
              </w:rPr>
              <w:t>Module</w:t>
            </w:r>
          </w:p>
        </w:tc>
        <w:tc>
          <w:tcPr>
            <w:tcW w:w="6768" w:type="dxa"/>
            <w:shd w:val="clear" w:color="auto" w:fill="173A31"/>
            <w:vAlign w:val="center"/>
          </w:tcPr>
          <w:p w14:paraId="3B3BE9C5">
            <w:pPr>
              <w:spacing w:before="40" w:after="40"/>
              <w:jc w:val="center"/>
            </w:pPr>
            <w:r>
              <w:rPr>
                <w:rFonts w:ascii="Times New Roman" w:hAnsi="Times New Roman"/>
                <w:b/>
                <w:color w:val="FFFFFF"/>
                <w:sz w:val="20"/>
              </w:rPr>
              <w:t>Responsibility</w:t>
            </w:r>
          </w:p>
        </w:tc>
      </w:tr>
      <w:tr w14:paraId="06EC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4F7F1"/>
            <w:vAlign w:val="center"/>
          </w:tcPr>
          <w:p w14:paraId="5DCAA80D">
            <w:pPr>
              <w:spacing w:before="40" w:after="40"/>
            </w:pPr>
            <w:r>
              <w:rPr>
                <w:rFonts w:ascii="Times New Roman" w:hAnsi="Times New Roman"/>
                <w:b w:val="0"/>
                <w:sz w:val="20"/>
              </w:rPr>
              <w:t>Account and session management</w:t>
            </w:r>
          </w:p>
        </w:tc>
        <w:tc>
          <w:tcPr>
            <w:tcW w:w="6768" w:type="dxa"/>
            <w:shd w:val="clear" w:color="auto" w:fill="F4F7F1"/>
            <w:vAlign w:val="center"/>
          </w:tcPr>
          <w:p w14:paraId="4E0C103B">
            <w:pPr>
              <w:spacing w:before="40" w:after="40"/>
            </w:pPr>
            <w:r>
              <w:rPr>
                <w:rFonts w:ascii="Times New Roman" w:hAnsi="Times New Roman"/>
                <w:b w:val="0"/>
                <w:sz w:val="20"/>
              </w:rPr>
              <w:t>Registration, login, authenticated API session, and sign-out.</w:t>
            </w:r>
          </w:p>
        </w:tc>
      </w:tr>
      <w:tr w14:paraId="61F5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00F330E">
            <w:pPr>
              <w:spacing w:before="40" w:after="40"/>
            </w:pPr>
            <w:r>
              <w:rPr>
                <w:rFonts w:ascii="Times New Roman" w:hAnsi="Times New Roman"/>
                <w:b w:val="0"/>
                <w:sz w:val="20"/>
              </w:rPr>
              <w:t>Identity and key backup</w:t>
            </w:r>
          </w:p>
        </w:tc>
        <w:tc>
          <w:tcPr>
            <w:tcW w:w="6768" w:type="dxa"/>
            <w:vAlign w:val="center"/>
          </w:tcPr>
          <w:p w14:paraId="7E1668A1">
            <w:pPr>
              <w:spacing w:before="40" w:after="40"/>
            </w:pPr>
            <w:r>
              <w:rPr>
                <w:rFonts w:ascii="Times New Roman" w:hAnsi="Times New Roman"/>
                <w:b w:val="0"/>
                <w:sz w:val="20"/>
              </w:rPr>
              <w:t>Browser key generation, encrypted private-key backup, import, and password-based unlock.</w:t>
            </w:r>
          </w:p>
        </w:tc>
      </w:tr>
      <w:tr w14:paraId="755A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4F7F1"/>
            <w:vAlign w:val="center"/>
          </w:tcPr>
          <w:p w14:paraId="5AFE9813">
            <w:pPr>
              <w:spacing w:before="40" w:after="40"/>
            </w:pPr>
            <w:r>
              <w:rPr>
                <w:rFonts w:ascii="Times New Roman" w:hAnsi="Times New Roman"/>
                <w:b w:val="0"/>
                <w:sz w:val="20"/>
              </w:rPr>
              <w:t>Conversation management</w:t>
            </w:r>
          </w:p>
        </w:tc>
        <w:tc>
          <w:tcPr>
            <w:tcW w:w="6768" w:type="dxa"/>
            <w:shd w:val="clear" w:color="auto" w:fill="F4F7F1"/>
            <w:vAlign w:val="center"/>
          </w:tcPr>
          <w:p w14:paraId="10E406DC">
            <w:pPr>
              <w:spacing w:before="40" w:after="40"/>
            </w:pPr>
            <w:r>
              <w:rPr>
                <w:rFonts w:ascii="Times New Roman" w:hAnsi="Times New Roman"/>
                <w:b w:val="0"/>
                <w:sz w:val="20"/>
              </w:rPr>
              <w:t>Chat requests, direct/group membership, conversation list, and participant display.</w:t>
            </w:r>
          </w:p>
        </w:tc>
      </w:tr>
      <w:tr w14:paraId="6B75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FD45809">
            <w:pPr>
              <w:spacing w:before="40" w:after="40"/>
            </w:pPr>
            <w:r>
              <w:rPr>
                <w:rFonts w:ascii="Times New Roman" w:hAnsi="Times New Roman"/>
                <w:b w:val="0"/>
                <w:sz w:val="20"/>
              </w:rPr>
              <w:t>Encrypted messaging</w:t>
            </w:r>
          </w:p>
        </w:tc>
        <w:tc>
          <w:tcPr>
            <w:tcW w:w="6768" w:type="dxa"/>
            <w:vAlign w:val="center"/>
          </w:tcPr>
          <w:p w14:paraId="0FCD611F">
            <w:pPr>
              <w:spacing w:before="40" w:after="40"/>
            </w:pPr>
            <w:r>
              <w:rPr>
                <w:rFonts w:ascii="Times New Roman" w:hAnsi="Times New Roman"/>
                <w:b w:val="0"/>
                <w:sz w:val="20"/>
              </w:rPr>
              <w:t>Client-side text, emoji, and image encryption with per-member key envelopes.</w:t>
            </w:r>
          </w:p>
        </w:tc>
      </w:tr>
      <w:tr w14:paraId="27EC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4F7F1"/>
            <w:vAlign w:val="center"/>
          </w:tcPr>
          <w:p w14:paraId="49FEDB71">
            <w:pPr>
              <w:spacing w:before="40" w:after="40"/>
            </w:pPr>
            <w:r>
              <w:rPr>
                <w:rFonts w:ascii="Times New Roman" w:hAnsi="Times New Roman"/>
                <w:b w:val="0"/>
                <w:sz w:val="20"/>
              </w:rPr>
              <w:t>Persistence and synchronization</w:t>
            </w:r>
          </w:p>
        </w:tc>
        <w:tc>
          <w:tcPr>
            <w:tcW w:w="6768" w:type="dxa"/>
            <w:shd w:val="clear" w:color="auto" w:fill="F4F7F1"/>
            <w:vAlign w:val="center"/>
          </w:tcPr>
          <w:p w14:paraId="208348A6">
            <w:pPr>
              <w:spacing w:before="40" w:after="40"/>
            </w:pPr>
            <w:r>
              <w:rPr>
                <w:rFonts w:ascii="Times New Roman" w:hAnsi="Times New Roman"/>
                <w:b w:val="0"/>
                <w:sz w:val="20"/>
              </w:rPr>
              <w:t>Local SQLite development storage and hosted Firebase message persistence.</w:t>
            </w:r>
          </w:p>
        </w:tc>
      </w:tr>
      <w:tr w14:paraId="1F92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E7CE36B">
            <w:pPr>
              <w:spacing w:before="40" w:after="40"/>
            </w:pPr>
            <w:r>
              <w:rPr>
                <w:rFonts w:ascii="Times New Roman" w:hAnsi="Times New Roman"/>
                <w:b w:val="0"/>
                <w:sz w:val="20"/>
              </w:rPr>
              <w:t>Message controls</w:t>
            </w:r>
          </w:p>
        </w:tc>
        <w:tc>
          <w:tcPr>
            <w:tcW w:w="6768" w:type="dxa"/>
            <w:vAlign w:val="center"/>
          </w:tcPr>
          <w:p w14:paraId="459EC9E1">
            <w:pPr>
              <w:spacing w:before="40" w:after="40"/>
            </w:pPr>
            <w:r>
              <w:rPr>
                <w:rFonts w:ascii="Times New Roman" w:hAnsi="Times New Roman"/>
                <w:b w:val="0"/>
                <w:sz w:val="20"/>
              </w:rPr>
              <w:t>Conversation-scoped retrieval and sender-authorized delete-for-everyone handling.</w:t>
            </w:r>
          </w:p>
        </w:tc>
      </w:tr>
      <w:tr w14:paraId="2FA5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4F7F1"/>
            <w:vAlign w:val="center"/>
          </w:tcPr>
          <w:p w14:paraId="54868D37">
            <w:pPr>
              <w:spacing w:before="40" w:after="40"/>
            </w:pPr>
            <w:r>
              <w:rPr>
                <w:rFonts w:ascii="Times New Roman" w:hAnsi="Times New Roman"/>
                <w:b w:val="0"/>
                <w:sz w:val="20"/>
              </w:rPr>
              <w:t>Encrypted-record viewer</w:t>
            </w:r>
          </w:p>
        </w:tc>
        <w:tc>
          <w:tcPr>
            <w:tcW w:w="6768" w:type="dxa"/>
            <w:shd w:val="clear" w:color="auto" w:fill="F4F7F1"/>
            <w:vAlign w:val="center"/>
          </w:tcPr>
          <w:p w14:paraId="55B8A75F">
            <w:pPr>
              <w:spacing w:before="40" w:after="40"/>
            </w:pPr>
            <w:r>
              <w:rPr>
                <w:rFonts w:ascii="Times New Roman" w:hAnsi="Times New Roman"/>
                <w:b w:val="0"/>
                <w:sz w:val="20"/>
              </w:rPr>
              <w:t>Administrator-restricted inspection of stored encrypted payloads and metadata.</w:t>
            </w:r>
          </w:p>
        </w:tc>
      </w:tr>
    </w:tbl>
    <w:p w14:paraId="18C81EF0">
      <w:pPr>
        <w:spacing w:after="20"/>
      </w:pPr>
    </w:p>
    <w:p w14:paraId="298284E4">
      <w:pPr>
        <w:pStyle w:val="3"/>
      </w:pPr>
      <w:r>
        <w:t>4.2 Focused Test Cases</w:t>
      </w:r>
    </w:p>
    <w:p w14:paraId="58BDFA94">
      <w:pPr>
        <w:widowControl/>
        <w:jc w:val="both"/>
      </w:pPr>
      <w:r>
        <w:rPr>
          <w:i w:val="0"/>
        </w:rPr>
        <w:t>The following outcomes are based on focused local API regression checks performed against temporary test data. They are not a substitute for testing the hosted service on multiple real accounts and browsers.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888"/>
        <w:gridCol w:w="3600"/>
      </w:tblGrid>
      <w:tr w14:paraId="0BDC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173A31"/>
            <w:vAlign w:val="center"/>
          </w:tcPr>
          <w:p w14:paraId="0C23D77D">
            <w:pPr>
              <w:spacing w:before="40" w:after="40"/>
              <w:jc w:val="center"/>
            </w:pPr>
            <w:r>
              <w:rPr>
                <w:rFonts w:ascii="Times New Roman" w:hAnsi="Times New Roman"/>
                <w:b/>
                <w:color w:val="FFFFFF"/>
                <w:sz w:val="18"/>
              </w:rPr>
              <w:t>Test Case</w:t>
            </w:r>
          </w:p>
        </w:tc>
        <w:tc>
          <w:tcPr>
            <w:tcW w:w="3888" w:type="dxa"/>
            <w:shd w:val="clear" w:color="auto" w:fill="173A31"/>
            <w:vAlign w:val="center"/>
          </w:tcPr>
          <w:p w14:paraId="2C5439B2">
            <w:pPr>
              <w:spacing w:before="40" w:after="40"/>
              <w:jc w:val="center"/>
            </w:pPr>
            <w:r>
              <w:rPr>
                <w:rFonts w:ascii="Times New Roman" w:hAnsi="Times New Roman"/>
                <w:b/>
                <w:color w:val="FFFFFF"/>
                <w:sz w:val="18"/>
              </w:rPr>
              <w:t>Procedure</w:t>
            </w:r>
          </w:p>
        </w:tc>
        <w:tc>
          <w:tcPr>
            <w:tcW w:w="3600" w:type="dxa"/>
            <w:shd w:val="clear" w:color="auto" w:fill="173A31"/>
            <w:vAlign w:val="center"/>
          </w:tcPr>
          <w:p w14:paraId="646B5BF8">
            <w:pPr>
              <w:spacing w:before="40" w:after="40"/>
              <w:jc w:val="center"/>
            </w:pPr>
            <w:r>
              <w:rPr>
                <w:rFonts w:ascii="Times New Roman" w:hAnsi="Times New Roman"/>
                <w:b/>
                <w:color w:val="FFFFFF"/>
                <w:sz w:val="18"/>
              </w:rPr>
              <w:t>Observed Result</w:t>
            </w:r>
          </w:p>
        </w:tc>
      </w:tr>
      <w:tr w14:paraId="065A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4FD273F6">
            <w:pPr>
              <w:spacing w:before="40" w:after="40"/>
            </w:pPr>
            <w:r>
              <w:rPr>
                <w:rFonts w:ascii="Times New Roman" w:hAnsi="Times New Roman"/>
                <w:b w:val="0"/>
                <w:sz w:val="18"/>
              </w:rPr>
              <w:t>Separate direct chats</w:t>
            </w:r>
          </w:p>
        </w:tc>
        <w:tc>
          <w:tcPr>
            <w:tcW w:w="3888" w:type="dxa"/>
            <w:shd w:val="clear" w:color="auto" w:fill="F4F7F1"/>
            <w:vAlign w:val="center"/>
          </w:tcPr>
          <w:p w14:paraId="278242C8">
            <w:pPr>
              <w:spacing w:before="40" w:after="40"/>
            </w:pPr>
            <w:r>
              <w:rPr>
                <w:rFonts w:ascii="Times New Roman" w:hAnsi="Times New Roman"/>
                <w:b w:val="0"/>
                <w:sz w:val="18"/>
              </w:rPr>
              <w:t>Create two conversations for one account with different partners, send a different record to each, and fetch each conversation.</w:t>
            </w:r>
          </w:p>
        </w:tc>
        <w:tc>
          <w:tcPr>
            <w:tcW w:w="3600" w:type="dxa"/>
            <w:shd w:val="clear" w:color="auto" w:fill="F4F7F1"/>
            <w:vAlign w:val="center"/>
          </w:tcPr>
          <w:p w14:paraId="563E056A">
            <w:pPr>
              <w:spacing w:before="40" w:after="40"/>
            </w:pPr>
            <w:r>
              <w:rPr>
                <w:rFonts w:ascii="Times New Roman" w:hAnsi="Times New Roman"/>
                <w:b w:val="0"/>
                <w:sz w:val="18"/>
              </w:rPr>
              <w:t>PASS: each API response contains only records for its requested conversation.</w:t>
            </w:r>
          </w:p>
        </w:tc>
      </w:tr>
      <w:tr w14:paraId="3698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C0FCEEE">
            <w:pPr>
              <w:spacing w:before="40" w:after="40"/>
            </w:pPr>
            <w:r>
              <w:rPr>
                <w:rFonts w:ascii="Times New Roman" w:hAnsi="Times New Roman"/>
                <w:b w:val="0"/>
                <w:sz w:val="18"/>
              </w:rPr>
              <w:t>Non-member access</w:t>
            </w:r>
          </w:p>
        </w:tc>
        <w:tc>
          <w:tcPr>
            <w:tcW w:w="3888" w:type="dxa"/>
            <w:vAlign w:val="center"/>
          </w:tcPr>
          <w:p w14:paraId="131A3B06">
            <w:pPr>
              <w:spacing w:before="40" w:after="40"/>
            </w:pPr>
            <w:r>
              <w:rPr>
                <w:rFonts w:ascii="Times New Roman" w:hAnsi="Times New Roman"/>
                <w:b w:val="0"/>
                <w:sz w:val="18"/>
              </w:rPr>
              <w:t>Request another account?s conversation message endpoint.</w:t>
            </w:r>
          </w:p>
        </w:tc>
        <w:tc>
          <w:tcPr>
            <w:tcW w:w="3600" w:type="dxa"/>
            <w:vAlign w:val="center"/>
          </w:tcPr>
          <w:p w14:paraId="297E4BFE">
            <w:pPr>
              <w:spacing w:before="40" w:after="40"/>
            </w:pPr>
            <w:r>
              <w:rPr>
                <w:rFonts w:ascii="Times New Roman" w:hAnsi="Times New Roman"/>
                <w:b w:val="0"/>
                <w:sz w:val="18"/>
              </w:rPr>
              <w:t>PASS: API returns not found to the non-member.</w:t>
            </w:r>
          </w:p>
        </w:tc>
      </w:tr>
      <w:tr w14:paraId="2D1C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40D70282">
            <w:pPr>
              <w:spacing w:before="40" w:after="40"/>
            </w:pPr>
            <w:r>
              <w:rPr>
                <w:rFonts w:ascii="Times New Roman" w:hAnsi="Times New Roman"/>
                <w:b w:val="0"/>
                <w:sz w:val="18"/>
              </w:rPr>
              <w:t>Wrong recipient envelope</w:t>
            </w:r>
          </w:p>
        </w:tc>
        <w:tc>
          <w:tcPr>
            <w:tcW w:w="3888" w:type="dxa"/>
            <w:shd w:val="clear" w:color="auto" w:fill="F4F7F1"/>
            <w:vAlign w:val="center"/>
          </w:tcPr>
          <w:p w14:paraId="5DD15293">
            <w:pPr>
              <w:spacing w:before="40" w:after="40"/>
            </w:pPr>
            <w:r>
              <w:rPr>
                <w:rFonts w:ascii="Times New Roman" w:hAnsi="Times New Roman"/>
                <w:b w:val="0"/>
                <w:sz w:val="18"/>
              </w:rPr>
              <w:t>Insert a test record that does not contain the requesting member?s envelope.</w:t>
            </w:r>
          </w:p>
        </w:tc>
        <w:tc>
          <w:tcPr>
            <w:tcW w:w="3600" w:type="dxa"/>
            <w:shd w:val="clear" w:color="auto" w:fill="F4F7F1"/>
            <w:vAlign w:val="center"/>
          </w:tcPr>
          <w:p w14:paraId="574C13AE">
            <w:pPr>
              <w:spacing w:before="40" w:after="40"/>
            </w:pPr>
            <w:r>
              <w:rPr>
                <w:rFonts w:ascii="Times New Roman" w:hAnsi="Times New Roman"/>
                <w:b w:val="0"/>
                <w:sz w:val="18"/>
              </w:rPr>
              <w:t>PASS: record is skipped; warning is logged; cursor advances past it.</w:t>
            </w:r>
          </w:p>
        </w:tc>
      </w:tr>
      <w:tr w14:paraId="59F1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532F3E3">
            <w:pPr>
              <w:spacing w:before="40" w:after="40"/>
            </w:pPr>
            <w:r>
              <w:rPr>
                <w:rFonts w:ascii="Times New Roman" w:hAnsi="Times New Roman"/>
                <w:b w:val="0"/>
                <w:sz w:val="18"/>
              </w:rPr>
              <w:t>Delete authorization</w:t>
            </w:r>
          </w:p>
        </w:tc>
        <w:tc>
          <w:tcPr>
            <w:tcW w:w="3888" w:type="dxa"/>
            <w:vAlign w:val="center"/>
          </w:tcPr>
          <w:p w14:paraId="29F580F6">
            <w:pPr>
              <w:spacing w:before="40" w:after="40"/>
            </w:pPr>
            <w:r>
              <w:rPr>
                <w:rFonts w:ascii="Times New Roman" w:hAnsi="Times New Roman"/>
                <w:b w:val="0"/>
                <w:sz w:val="18"/>
              </w:rPr>
              <w:t>Attempt to delete a message as a non-sender and then as its sender.</w:t>
            </w:r>
          </w:p>
        </w:tc>
        <w:tc>
          <w:tcPr>
            <w:tcW w:w="3600" w:type="dxa"/>
            <w:vAlign w:val="center"/>
          </w:tcPr>
          <w:p w14:paraId="12D82736">
            <w:pPr>
              <w:spacing w:before="40" w:after="40"/>
            </w:pPr>
            <w:r>
              <w:rPr>
                <w:rFonts w:ascii="Times New Roman" w:hAnsi="Times New Roman"/>
                <w:b w:val="0"/>
                <w:sz w:val="18"/>
              </w:rPr>
              <w:t>PASS: non-sender is denied; sender deletion removes the record and creates a deletion event.</w:t>
            </w:r>
          </w:p>
        </w:tc>
      </w:tr>
      <w:tr w14:paraId="5000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4F7F1"/>
            <w:vAlign w:val="center"/>
          </w:tcPr>
          <w:p w14:paraId="170F9A92">
            <w:pPr>
              <w:spacing w:before="40" w:after="40"/>
            </w:pPr>
            <w:r>
              <w:rPr>
                <w:rFonts w:ascii="Times New Roman" w:hAnsi="Times New Roman"/>
                <w:b w:val="0"/>
                <w:sz w:val="18"/>
              </w:rPr>
              <w:t>Browser conversation switching</w:t>
            </w:r>
          </w:p>
        </w:tc>
        <w:tc>
          <w:tcPr>
            <w:tcW w:w="3888" w:type="dxa"/>
            <w:shd w:val="clear" w:color="auto" w:fill="F4F7F1"/>
            <w:vAlign w:val="center"/>
          </w:tcPr>
          <w:p w14:paraId="660C3C79">
            <w:pPr>
              <w:spacing w:before="40" w:after="40"/>
            </w:pPr>
            <w:r>
              <w:rPr>
                <w:rFonts w:ascii="Times New Roman" w:hAnsi="Times New Roman"/>
                <w:b w:val="0"/>
                <w:sz w:val="18"/>
              </w:rPr>
              <w:t>Switch conversations while earlier message requests are pending.</w:t>
            </w:r>
          </w:p>
        </w:tc>
        <w:tc>
          <w:tcPr>
            <w:tcW w:w="3600" w:type="dxa"/>
            <w:shd w:val="clear" w:color="auto" w:fill="F4F7F1"/>
            <w:vAlign w:val="center"/>
          </w:tcPr>
          <w:p w14:paraId="3F164E6E">
            <w:pPr>
              <w:spacing w:before="40" w:after="40"/>
            </w:pPr>
            <w:r>
              <w:rPr>
                <w:rFonts w:ascii="Times New Roman" w:hAnsi="Times New Roman"/>
                <w:b w:val="0"/>
                <w:sz w:val="18"/>
              </w:rPr>
              <w:t>The frontend includes a conversation-view version guard; a deployed-page source check confirmed the guard is present.</w:t>
            </w:r>
          </w:p>
        </w:tc>
      </w:tr>
    </w:tbl>
    <w:p w14:paraId="791D17CA">
      <w:pPr>
        <w:spacing w:after="20"/>
      </w:pPr>
    </w:p>
    <w:p w14:paraId="397D4241">
      <w:pPr>
        <w:pStyle w:val="3"/>
      </w:pPr>
      <w:r>
        <w:t>4.3 Results and Discussion</w:t>
      </w:r>
    </w:p>
    <w:p w14:paraId="12BB9045">
      <w:pPr>
        <w:widowControl/>
        <w:jc w:val="both"/>
      </w:pPr>
      <w:r>
        <w:rPr>
          <w:i w:val="0"/>
        </w:rPr>
        <w:t>The implemented architecture separates the message encryption key from the server?s persistence layer. Each message receives its own symmetric key, and that key is wrapped for the members of its conversation. A local regression check confirms that the message API scopes retrieval by conversation, applies member authorization, and skips records without a matching conversation ID or recipient envelope. The frontend also prevents an older asynchronous response from being appended after the user switches conversations.</w:t>
      </w:r>
    </w:p>
    <w:p w14:paraId="01EB7C03">
      <w:pPr>
        <w:widowControl/>
        <w:jc w:val="both"/>
      </w:pPr>
      <w:r>
        <w:rPr>
          <w:i w:val="0"/>
        </w:rPr>
        <w:t>If a message still cannot be decrypted, the likely causes differ from conversation mixing: the browser may not have the matching private key, the record may lack an envelope for that account, or an older key may have encrypted the message. A new account key cannot recover data encrypted to a previous key. The correct backup and a hosted multi-account verification are needed to diagnose individual historical records.</w:t>
      </w:r>
    </w:p>
    <w:p w14:paraId="7872C292">
      <w:pPr>
        <w:pStyle w:val="3"/>
      </w:pPr>
      <w:r>
        <w:t>4.4 Limitations</w:t>
      </w:r>
    </w:p>
    <w:p w14:paraId="2B1A3F5C">
      <w:pPr>
        <w:pStyle w:val="23"/>
        <w:spacing w:after="60"/>
        <w:ind w:left="360"/>
      </w:pPr>
      <w:r>
        <w:t>No independent cryptographic review, formal verification, or production penetration test is claimed.</w:t>
      </w:r>
    </w:p>
    <w:p w14:paraId="01D9CCA2">
      <w:pPr>
        <w:pStyle w:val="23"/>
        <w:spacing w:after="60"/>
        <w:ind w:left="360"/>
      </w:pPr>
      <w:r>
        <w:t>Key loss can make previously encrypted messages permanently unreadable.</w:t>
      </w:r>
    </w:p>
    <w:p w14:paraId="20FB3268">
      <w:pPr>
        <w:pStyle w:val="23"/>
        <w:spacing w:after="60"/>
        <w:ind w:left="360"/>
      </w:pPr>
      <w:r>
        <w:t>The server stores participant and timing metadata even though message content is encrypted.</w:t>
      </w:r>
    </w:p>
    <w:p w14:paraId="0C2A21A3">
      <w:pPr>
        <w:pStyle w:val="23"/>
        <w:spacing w:after="60"/>
        <w:ind w:left="360"/>
      </w:pPr>
      <w:r>
        <w:t>Hosted behavior depends on Render, Firebase, network access, and correct environment configuration.</w:t>
      </w:r>
    </w:p>
    <w:p w14:paraId="3BEEF0DC">
      <w:pPr>
        <w:pStyle w:val="23"/>
        <w:spacing w:after="60"/>
        <w:ind w:left="360"/>
      </w:pPr>
      <w:r>
        <w:t>Current regression tests use isolated local test data; broader browser/device and deployment testing remains necessary.</w:t>
      </w:r>
    </w:p>
    <w:p w14:paraId="26D69AFD">
      <w:r>
        <w:br w:type="page"/>
      </w:r>
    </w:p>
    <w:p w14:paraId="138B4F7D">
      <w:pPr>
        <w:pStyle w:val="2"/>
      </w:pPr>
      <w:r>
        <w:t>CONCLUSION</w:t>
      </w:r>
    </w:p>
    <w:p w14:paraId="17E2E84F">
      <w:pPr>
        <w:widowControl/>
        <w:jc w:val="both"/>
      </w:pPr>
      <w:r>
        <w:rPr>
          <w:i w:val="0"/>
        </w:rPr>
        <w:t>Commonroom demonstrates a browser-centered end-to-end encrypted chat workflow integrated with a Flask API and persistent storage. The client encrypts each message before transmission and creates key envelopes for conversation members. Server-side authentication and membership checks provide a separate access-control layer. Focused regression checks support conversation-level message isolation and sender-only deletion in local tests. The system should be described as a project implementation rather than a formally audited secure messaging product.</w:t>
      </w:r>
    </w:p>
    <w:p w14:paraId="5D2D343C">
      <w:r>
        <w:br w:type="page"/>
      </w:r>
    </w:p>
    <w:p w14:paraId="74B2BCCF">
      <w:pPr>
        <w:pStyle w:val="2"/>
      </w:pPr>
      <w:r>
        <w:t>FUTURE SCOPE</w:t>
      </w:r>
    </w:p>
    <w:p w14:paraId="24FE2134">
      <w:pPr>
        <w:pStyle w:val="23"/>
        <w:spacing w:after="60"/>
        <w:ind w:left="360"/>
      </w:pPr>
      <w:r>
        <w:t>Add automated unit and integration test suites for encryption, conversation isolation, backup recovery, and deletion.</w:t>
      </w:r>
    </w:p>
    <w:p w14:paraId="6FE3BF18">
      <w:pPr>
        <w:pStyle w:val="23"/>
        <w:spacing w:after="60"/>
        <w:ind w:left="360"/>
      </w:pPr>
      <w:r>
        <w:t>Conduct an independent cryptographic design and implementation review.</w:t>
      </w:r>
    </w:p>
    <w:p w14:paraId="1F097A5F">
      <w:pPr>
        <w:pStyle w:val="23"/>
        <w:spacing w:after="60"/>
        <w:ind w:left="360"/>
      </w:pPr>
      <w:r>
        <w:t>Improve key rotation, device management, and safe recovery workflows without losing access to historical messages.</w:t>
      </w:r>
    </w:p>
    <w:p w14:paraId="7A3A4FE1">
      <w:pPr>
        <w:pStyle w:val="23"/>
        <w:spacing w:after="60"/>
        <w:ind w:left="360"/>
      </w:pPr>
      <w:r>
        <w:t>Add monitoring, rate limits, documented backup/restore procedures, and operational deployment checks.</w:t>
      </w:r>
    </w:p>
    <w:p w14:paraId="36A41FF1">
      <w:pPr>
        <w:pStyle w:val="23"/>
        <w:spacing w:after="60"/>
        <w:ind w:left="360"/>
      </w:pPr>
      <w:r>
        <w:t>Improve usability with clear diagnostics for missing recipient envelopes and mismatched private keys.</w:t>
      </w:r>
    </w:p>
    <w:p w14:paraId="1D16D1F1">
      <w:pPr>
        <w:pStyle w:val="23"/>
        <w:spacing w:after="60"/>
        <w:ind w:left="360"/>
      </w:pPr>
      <w:r>
        <w:t>Evaluate accessibility, responsive layouts, and supported browser behavior across multiple devices.</w:t>
      </w:r>
    </w:p>
    <w:p w14:paraId="16A16EE1">
      <w:r>
        <w:br w:type="page"/>
      </w:r>
    </w:p>
    <w:p w14:paraId="295BBE3E">
      <w:pPr>
        <w:pStyle w:val="2"/>
      </w:pPr>
      <w:r>
        <w:t>REFERENCES</w:t>
      </w:r>
    </w:p>
    <w:p w14:paraId="56732B2F">
      <w:pPr>
        <w:ind w:left="432" w:hanging="432"/>
        <w:jc w:val="both"/>
      </w:pPr>
      <w:r>
        <w:t>[1] W3C, ?Web Cryptography API,? https://www.w3.org/TR/WebCryptoAPI/ (accessed 29 Oct. 2026).</w:t>
      </w:r>
    </w:p>
    <w:p w14:paraId="3B567706">
      <w:pPr>
        <w:ind w:left="432" w:hanging="432"/>
        <w:jc w:val="both"/>
      </w:pPr>
      <w:r>
        <w:t>[2] M. J. Dworkin, ?Recommendation for Block Cipher Modes of Operation: Galois/Counter Mode (GCM) and GMAC,? NIST Special Publication 800-38D, 2007.</w:t>
      </w:r>
    </w:p>
    <w:p w14:paraId="6468AFD7">
      <w:pPr>
        <w:ind w:left="432" w:hanging="432"/>
        <w:jc w:val="both"/>
      </w:pPr>
      <w:r>
        <w:t>[3] K. Moriarty et al., ?PKCS #1: RSA Cryptography Specifications Version 2.2,? RFC 8017, 2016.</w:t>
      </w:r>
    </w:p>
    <w:p w14:paraId="7F6E5750">
      <w:pPr>
        <w:ind w:left="432" w:hanging="432"/>
        <w:jc w:val="both"/>
      </w:pPr>
      <w:r>
        <w:t>[4] K. Moriarty et al., ?PKCS #5: Password-Based Cryptography Specification Version 2.1,? RFC 8018, 2017.</w:t>
      </w:r>
    </w:p>
    <w:p w14:paraId="1F217F3A">
      <w:pPr>
        <w:ind w:left="432" w:hanging="432"/>
        <w:jc w:val="both"/>
      </w:pPr>
      <w:r>
        <w:t>[5] Pallets, ?Flask Documentation,? https://flask.palletsprojects.com/ (accessed 29 Oct. 2026).</w:t>
      </w:r>
    </w:p>
    <w:p w14:paraId="032AC432">
      <w:pPr>
        <w:ind w:left="432" w:hanging="432"/>
        <w:jc w:val="both"/>
      </w:pPr>
      <w:r>
        <w:t>[6] Google Firebase, ?Read and Write Data on the Web,? https://firebase.google.com/docs/database/web/read-and-write (accessed 29 Oct. 2026).</w:t>
      </w:r>
    </w:p>
    <w:p w14:paraId="59C154A6">
      <w:pPr>
        <w:ind w:left="432" w:hanging="432"/>
        <w:jc w:val="both"/>
      </w:pPr>
      <w:r>
        <w:t>[7] SQLite, ?SQLite Documentation,? https://www.sqlite.org/docs.html (accessed 29 Oct. 2026).</w:t>
      </w:r>
    </w:p>
    <w:p w14:paraId="272650CC">
      <w:pPr>
        <w:ind w:left="432" w:hanging="432"/>
        <w:jc w:val="both"/>
      </w:pPr>
      <w:r>
        <w:t>[8] Commonroom project source code and README, repository: https://github.com/rajdohar2-stack/encripted-chat-system (accessed 29 Oct. 2026).</w:t>
      </w:r>
    </w:p>
    <w:sectPr>
      <w:headerReference r:id="rId5" w:type="default"/>
      <w:footerReference r:id="rId6" w:type="default"/>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387FA">
    <w:pPr>
      <w:pStyle w:val="18"/>
      <w:jc w:val="center"/>
    </w:pPr>
    <w:r>
      <w:rPr>
        <w:rFonts w:ascii="Times New Roman" w:hAnsi="Times New Roman"/>
        <w:sz w:val="18"/>
      </w:rPr>
      <w:t xml:space="preserve">Project Report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47057">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FD1C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color w:val="1E1E1E"/>
      <w:sz w:val="24"/>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73A31"/>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173A31"/>
      <w:sz w:val="26"/>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73A31"/>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3039</Words>
  <Characters>19240</Characters>
  <Lines>0</Lines>
  <Paragraphs>0</Paragraphs>
  <TotalTime>2</TotalTime>
  <ScaleCrop>false</ScaleCrop>
  <LinksUpToDate>false</LinksUpToDate>
  <CharactersWithSpaces>21987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Suraj Dohar</dc:creator>
  <dc:description>generated by python-docx</dc:description>
  <cp:keywords>Commonroom, encrypted chat, end-to-end encryption, Flask, Web Crypto</cp:keywords>
  <cp:lastModifiedBy>Raj dohar</cp:lastModifiedBy>
  <dcterms:modified xsi:type="dcterms:W3CDTF">2026-10-29T18:40:01Z</dcterms:modified>
  <dc:subject>Micro Project Report</dc:subject>
  <dc:title>Commonroom: End-to-End Encrypted Chat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eyJoZGlkIjoiOGQ2N2M4ZDQ1MDU2NWQyZmYzZGUwMmY3MWYyMTk5ZTciLCJ1c2VySWQiOiI1Njc2MTczNDgxNDgifQ==</vt:lpwstr>
  </property>
  <property fmtid="{D5CDD505-2E9C-101B-9397-08002B2CF9AE}" pid="3" name="KSOProductBuildVer">
    <vt:lpwstr>1033-12.1.0.29162</vt:lpwstr>
  </property>
  <property fmtid="{D5CDD505-2E9C-101B-9397-08002B2CF9AE}" pid="4" name="ICV">
    <vt:lpwstr>7339F45723DB4B4F95DF6BEED1B7AAD5_12</vt:lpwstr>
  </property>
</Properties>
</file>