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666666"/>
          <w:sz w:val="26"/>
          <w:szCs w:val="26"/>
        </w:rPr>
        <w:t xml:space="preserve">Product Requirements Document</w:t>
      </w:r>
    </w:p>
    <w:p>
      <w:pPr>
        <w:spacing w:after="200" w:before="200"/>
        <w:jc w:val="center"/>
      </w:pPr>
      <w:r>
        <w:rPr>
          <w:b/>
          <w:bCs/>
          <w:color w:val="1F4E5F"/>
          <w:sz w:val="44"/>
          <w:szCs w:val="44"/>
        </w:rPr>
        <w:t xml:space="preserve">TapBoss: Multi-Company, Client/Vendor &amp; Permission Management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Additive feature — Tapas Hub multi-tenant expansion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Non-negotiable ground rule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This is an ADDITIVE, backward-compatible feature. No existing functionality, data, routes, auth, or UI may be removed, rewritten, or broken.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Discovery of the current TapBoss architecture is a mandatory gate before any code is written (see Section 1).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Existing users must be able to log in and work exactly as they do today, unchanged, after this ships.</w:t>
            </w:r>
          </w:p>
        </w:tc>
      </w:tr>
    </w:tbl>
    <w:p>
      <w:pPr>
        <w:spacing w:after="1000"/>
      </w:pPr>
    </w:p>
    <w:p>
      <w:r>
        <w:rPr>
          <w:color w:val="666666"/>
          <w:sz w:val="20"/>
          <w:szCs w:val="20"/>
        </w:rPr>
        <w:t xml:space="preserve">Prepared: August 17, 2026</w:t>
      </w:r>
    </w:p>
    <w:p>
      <w:r>
        <w:rPr>
          <w:color w:val="666666"/>
          <w:sz w:val="20"/>
          <w:szCs w:val="20"/>
        </w:rPr>
        <w:t xml:space="preserve">Status: Draft for engineering review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How to Use This Document</w:t>
      </w:r>
    </w:p>
    <w:p>
      <w:pPr>
        <w:spacing w:after="140"/>
      </w:pPr>
      <w:r>
        <w:t xml:space="preserve">This PRD translates the multi-company/client/vendor/permissions request into a build-ready spec. It is written to be handed directly to whoever implements the change — a developer or an AI coding agent inside Replit — with an explicit discovery gate before any code is touched.</w:t>
      </w:r>
    </w:p>
    <w:p>
      <w:pPr>
        <w:spacing w:after="140"/>
      </w:pPr>
      <w:r>
        <w:t xml:space="preserve">Before implementation begins, the assigned builder must complete Section 1 (Discovery) and produce the deliverables listed there. Nothing in Sections 2 onward should be built against assumptions — it should be reconciled against what discovery actually finds in the codebase.</w:t>
      </w:r>
    </w:p>
    <w:p>
      <w:pPr>
        <w:pStyle w:val="Heading1"/>
        <w:spacing w:after="160" w:before="360"/>
      </w:pPr>
      <w:r>
        <w:t xml:space="preserve">1. Mandatory Discovery Phase (Gate Before Any Code Changes)</w:t>
      </w:r>
    </w:p>
    <w:p>
      <w:pPr>
        <w:spacing w:after="140"/>
      </w:pPr>
      <w:r>
        <w:t xml:space="preserve">No schema changes, no new endpoints, no UI changes until this phase is complete and documented.</w:t>
      </w:r>
    </w:p>
    <w:p>
      <w:pPr>
        <w:pStyle w:val="Heading2"/>
        <w:spacing w:after="120" w:before="260"/>
      </w:pPr>
      <w:r>
        <w:t xml:space="preserve">1.1 What must be inspected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mechanism (session/JWT/OAuth provider, login flow, password reset)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model: fields, roles, how roles are currently stored and checked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permission/access-control system, if any (RBAC table? hard-coded role checks? middleware?)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company/business/organization structure, if 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database schema: tables, foreign keys, existing migrations tooling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structure: routing conventions, middleware stack, request validation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routing and navigation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modules that may need company/client/vendor association (tasks, projects, files, reports,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existing multi-tenancy, audit logging, or soft-delete conventions</w:t>
      </w:r>
    </w:p>
    <w:p>
      <w:pPr>
        <w:pStyle w:val="Heading2"/>
        <w:spacing w:after="120" w:before="260"/>
      </w:pPr>
      <w:r>
        <w:t xml:space="preserve">1.2 Required output of discovery</w:t>
      </w:r>
    </w:p>
    <w:p>
      <w:pPr>
        <w:spacing w:after="140"/>
      </w:pPr>
      <w:r>
        <w:t xml:space="preserve">A short architecture findings memo, covering: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auth &amp; session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user/role/permission model (as-is diagram or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schema relevant to companies/orgs (if 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extension points (what to reuse vs. what must be added net-new)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existing modules/tables that will need a nullable company/client/vendor association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risks or ambiguities that block a confident estimate</w:t>
      </w:r>
    </w:p>
    <w:p>
      <w:pPr>
        <w:spacing w:after="140"/>
      </w:pPr>
      <w:r>
        <w:t xml:space="preserve">Only after this memo is reviewed should Sections 2–9 below be finalized into actual tickets/migrations.</w:t>
      </w:r>
    </w:p>
    <w:p>
      <w:pPr>
        <w:pStyle w:val="Heading1"/>
        <w:spacing w:after="160" w:before="360"/>
      </w:pPr>
      <w:r>
        <w:t xml:space="preserve">2. Goals &amp; Non-Goals</w:t>
      </w:r>
    </w:p>
    <w:p>
      <w:pPr>
        <w:pStyle w:val="Heading2"/>
        <w:spacing w:after="120" w:before="260"/>
      </w:pPr>
      <w:r>
        <w:t xml:space="preserve">2.1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 a hierarchy: Tapas Hub (main company) → Sub-Companies → Clients/Vendors → Users/Contacts →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dynamic (DB-driven, not hard-coded) creation of unlimited sub-companies.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each sub-company to manage its own clients and vendors.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existing TapBoss records (tasks, projects, etc.) to optionally associate with a sub-company/client/vendor, only where it makes business sense.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 a flexible, scalable permission model: company access × client/vendor access × module ×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all access control at the backend/API layer — never trust frontend-supplied 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Preserve 100% of existing functionality, data, and user experience for current users.</w:t>
      </w:r>
    </w:p>
    <w:p>
      <w:pPr>
        <w:pStyle w:val="Heading2"/>
        <w:spacing w:after="120" w:before="260"/>
      </w:pPr>
      <w:r>
        <w:t xml:space="preserve">2.2 Non-Goals (explicitly out of scope)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Rebuilding TapBoss or migrating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Replacing the authentication system or the database engine.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Redesigning the visual design system — new screens must reuse existing components, colors, and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Forcing company/client/vendor fields onto records where they don't logically belong.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Rewriting existing role checks that are not in conflict with the new model (extend, don't replace).</w:t>
      </w:r>
    </w:p>
    <w:p>
      <w:pPr>
        <w:pStyle w:val="Heading1"/>
        <w:spacing w:after="160" w:before="360"/>
      </w:pPr>
      <w:r>
        <w:t xml:space="preserve">3. Business Structure &amp; Hierarchy</w:t>
      </w:r>
    </w:p>
    <w:p>
      <w:pPr>
        <w:spacing w:after="140"/>
      </w:pPr>
      <w:r>
        <w:t xml:space="preserve">Tapas Hub (main company)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Sub-Company (e.g., TargetGum, Hugfab, and unlimited future entries)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Client / Vendor (belongs to exactly one sub-company)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  Users / Contacts (internal staff, client users, vendor users)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  Permissions (company access, client/vendor access, module × action)</w:t>
      </w:r>
    </w:p>
    <w:p>
      <w:pPr>
        <w:spacing w:after="140"/>
      </w:pPr>
      <w:r>
        <w:t xml:space="preserve">All sub-companies, clients, and vendors are database-managed entities — never hard-coded strings in application code.</w:t>
      </w:r>
    </w:p>
    <w:p>
      <w:pPr>
        <w:pStyle w:val="Heading1"/>
        <w:spacing w:after="160" w:before="360"/>
      </w:pPr>
      <w:r>
        <w:t xml:space="preserve">4. Data Model (Proposed — reconcile against discovery findings)</w:t>
      </w:r>
    </w:p>
    <w:p>
      <w:pPr>
        <w:spacing w:after="140"/>
      </w:pPr>
      <w:r>
        <w:t xml:space="preserve">Exact table/column names should follow the existing schema's naming conventions once discovery is complete. The structures below describe required fields and relationships, not literal DDL.</w:t>
      </w:r>
    </w:p>
    <w:p>
      <w:pPr>
        <w:pStyle w:val="Heading2"/>
        <w:spacing w:after="120" w:before="260"/>
      </w:pPr>
      <w:r>
        <w:t xml:space="preserve">4.1 sub_companies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short_code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unique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Code / Short Name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logo_url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website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enum: active/inactive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active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audit columns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4.2 clients_vendors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sub_company_id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sub_companies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enum: client/vendor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organization_name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/ phone / whatsapp / website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enum: active/inactive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active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custom_fields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JSON, nullable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if the existing DB supports flexible/JSON columns without disruption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4.3 Association pattern for existing records</w:t>
      </w:r>
    </w:p>
    <w:p>
      <w:pPr>
        <w:spacing w:after="140"/>
      </w:pPr>
      <w:r>
        <w:t xml:space="preserve">For existing modules (tasks, projects, files, reports, etc.) that logically relate to a company/client/vendor, add a lightweight, nullable join rather than modifying core tables destructively: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nullable sub_company_id, client_vendor_id foreign keys directly to the relevant existing table, 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generic polymorphic association table (e.g., entity_company_links: entity_type, entity_id, sub_company_id, client_vendor_id) if the existing schema favors that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Choice between the two depends entirely on what discovery finds — prefer whichever pattern is closer to the existing codebase's conventions.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new foreign keys must be nullable so existing rows remain valid with no company association.</w:t>
      </w:r>
    </w:p>
    <w:p>
      <w:pPr>
        <w:pStyle w:val="Heading2"/>
        <w:spacing w:after="120" w:before="260"/>
      </w:pPr>
      <w:r>
        <w:t xml:space="preserve">4.4 Permission model tables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Extend existing roles table if present; otherwise add Super Admin, Company Admin, Internal Staff, Client User, Vendor User, plus support for custom roles.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user_company_access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Maps user → sub_company (which companies a user can see).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user_client_vendor_access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row-level restriction: user → specific client/vendor. Absence of a row for a company = access to all clients/vendors in that company, per role default.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role_permissions / user_permissions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× action grants: view, create, edit, delete, manage — per role and optionally per user override.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Extend existing audit logging if present; otherwise new table capturing actor, action, target entity, before/after, timestamp.</w:t>
            </w:r>
          </w:p>
        </w:tc>
      </w:tr>
    </w:tbl>
    <w:p>
      <w:pPr>
        <w:pStyle w:val="Heading1"/>
        <w:spacing w:after="160" w:before="360"/>
      </w:pPr>
      <w:r>
        <w:t xml:space="preserve">5. Permission Model</w:t>
      </w:r>
    </w:p>
    <w:p>
      <w:pPr>
        <w:spacing w:after="140"/>
      </w:pPr>
      <w:r>
        <w:t xml:space="preserve">Access is evaluated as a chain: Company Access → Client/Vendor Access → Module Permission → Action Permission. A request is authorized only if every applicable link in the chain passes.</w:t>
      </w:r>
    </w:p>
    <w:p>
      <w:pPr>
        <w:pStyle w:val="Heading2"/>
        <w:spacing w:after="120" w:before="260"/>
      </w:pPr>
      <w:r>
        <w:t xml:space="preserve">5.1 Roles (extend existing roles if present)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8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Company Scope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Client/Vendor Scope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Permissions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sub-companies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clients/vendors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management of companies, clients, vendors, users, roles, permissions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or more assigned sub-companies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clients/vendors within assigned companies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clients/vendors, projects, tasks, reports within assigned companies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Staff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Assigned sub-companies only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Per-module, often all clients/vendors in scope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View/manage specific modules per explicit grants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User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sub-company (their own)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Restricted to their own client record only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assigned projects/tasks/files/reports, upload files, comment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User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sub-company (their own)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Restricted to their own vendor record only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View/update assigned tasks, upload documents, comment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5.2 Module × Action permissions</w:t>
      </w:r>
    </w:p>
    <w:p>
      <w:pPr>
        <w:spacing w:after="140"/>
      </w:pPr>
      <w:r>
        <w:t xml:space="preserve">Not every module needs every action. Define per-module which actions are meaningful (e.g., Reports may only need View; Tasks may need View/Create/Edit/Manage).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 (example)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Applicable Actions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Create, Edit, Delete, Manage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Create, Edit, Delete, Manage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Create, Edit, Manage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Create, Edit, Manage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Upload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 &amp; Access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View, Create, Edit, Manage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5.3 Backend authorization helpers (centralized, not scattered)</w:t>
      </w:r>
    </w:p>
    <w:p>
      <w:pPr>
        <w:spacing w:after="140"/>
      </w:pPr>
      <w:r>
        <w:t xml:space="preserve">Introduce a single authorization module used consistently across protected endpoints — do not add scattered inline role checks: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canAccessCompany(user, companyId)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canAccessClient(user, clientId)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canAccessVendor(user, vendorId)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hasPermission(user, module, action)</w:t>
      </w:r>
    </w:p>
    <w:p>
      <w:pPr>
        <w:spacing w:after="140"/>
      </w:pPr>
      <w:r>
        <w:t xml:space="preserve">If the existing codebase already has an authorization/middleware pattern, these functions should plug into it rather than introduce a second, parallel system.</w:t>
      </w:r>
    </w:p>
    <w:p>
      <w:pPr>
        <w:pStyle w:val="Heading2"/>
        <w:spacing w:after="120" w:before="260"/>
      </w:pPr>
      <w:r>
        <w:t xml:space="preserve">5.4 Enforcement rule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Security requirement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Every protected API endpoint must verify, server-side: authenticated user → role → company access → client/vendor access → module permission → action permission.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Company/client/vendor IDs arriving from the frontend are never trusted at face value — they are re-validated against the user's actual grants on every request.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Frontend filtering/hiding is a UX convenience only, never a substitute for backend enforcement.</w:t>
            </w:r>
          </w:p>
        </w:tc>
      </w:tr>
    </w:tbl>
    <w:p>
      <w:pPr>
        <w:pStyle w:val="Heading1"/>
        <w:spacing w:after="160" w:before="360"/>
      </w:pPr>
      <w:r>
        <w:t xml:space="preserve">6. UI &amp; Navigation</w:t>
      </w:r>
    </w:p>
    <w:p>
      <w:pPr>
        <w:spacing w:after="140"/>
      </w:pPr>
      <w:r>
        <w:t xml:space="preserve">All new screens must reuse the existing design system (components, colors, typography, spacing, tables, modals, notifications, responsive behavior). No parallel visual language.</w:t>
      </w:r>
    </w:p>
    <w:p>
      <w:pPr>
        <w:pStyle w:val="Heading2"/>
        <w:spacing w:after="120" w:before="260"/>
      </w:pPr>
      <w:r>
        <w:t xml:space="preserve">6.1 Tapas Hub level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Companies (list → TargetGum, Hugfab, …, dynamically loaded)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&amp;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 &amp; Permissions</w:t>
      </w:r>
    </w:p>
    <w:p>
      <w:pPr>
        <w:pStyle w:val="Heading2"/>
        <w:spacing w:after="120" w:before="260"/>
      </w:pPr>
      <w:r>
        <w:t xml:space="preserve">6.2 Sub-company level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TapBoss modules (unchanged, but scoped to selected company where relevant)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/ Access</w:t>
      </w:r>
    </w:p>
    <w:p>
      <w:pPr>
        <w:pStyle w:val="Heading2"/>
        <w:spacing w:after="120" w:before="260"/>
      </w:pPr>
      <w:r>
        <w:t xml:space="preserve">6.3 Global company selector</w:t>
      </w:r>
    </w:p>
    <w:p>
      <w:pPr>
        <w:spacing w:after="140"/>
      </w:pPr>
      <w:r>
        <w:t xml:space="preserve">Header/sidebar control: "Current Company: [Name] ▼" with options limited to what the logged-in user can access. Users with a single company see only that company (no selector ambiguity). Super Admins additionally get an "All Companies" option.</w:t>
      </w:r>
    </w:p>
    <w:p>
      <w:pPr>
        <w:pStyle w:val="Heading2"/>
        <w:spacing w:after="120" w:before="260"/>
      </w:pPr>
      <w:r>
        <w:t xml:space="preserve">6.4 Client/Vendor selector</w:t>
      </w:r>
    </w:p>
    <w:p>
      <w:pPr>
        <w:spacing w:after="140"/>
      </w:pPr>
      <w:r>
        <w:t xml:space="preserve">Secondary selector, dependent on the company selection: "Client/Vendor: All ▼". Selecting a company narrows this list; selecting a client/vendor narrows visible data accordingly. Users should not have to re-specify company context repeatedly — selection should persist across the session and cascade automatically.</w:t>
      </w:r>
    </w:p>
    <w:p>
      <w:pPr>
        <w:pStyle w:val="Heading1"/>
        <w:spacing w:after="160" w:before="360"/>
      </w:pPr>
      <w:r>
        <w:t xml:space="preserve">7. Filtering &amp;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Sub Company (All / specific company).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Relationship Type (All / Clients / Vendors).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specific Client/Vendor.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clients/vendors by name, organization, email, phone, type, sub-company,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filtering only where it makes business sense in the existing app — do not add filters to unrelated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pagination for client/vendor lists if the existing app already paginates large datasets; avoid loading full unbounded lists into the browser.</w:t>
      </w:r>
    </w:p>
    <w:p>
      <w:pPr>
        <w:pStyle w:val="Heading1"/>
        <w:spacing w:after="160" w:before="360"/>
      </w:pPr>
      <w:r>
        <w:t xml:space="preserve">8. Backward Compatibility &amp; Data Migration Strategy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Hard constraints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Use additive database migrations only — no destructive schema changes.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 not delete or rename existing columns/tables unless there is genuinely no alternative (and if so, flag it for explicit sign-off before proceeding).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New company/client/vendor foreign keys on existing tables must be nullable.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Existing records without a company association must continue to function unmodified — no forced backfill that changes behavior.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Existing users retain their current access and login behavior exactly as-is after deployment.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If a default company is needed for legacy data, use "Tapas Hub" only if it fits the existing architecture — do not force it if it would misrepresent old records.</w:t>
            </w:r>
          </w:p>
        </w:tc>
      </w:tr>
    </w:tbl>
    <w:p>
      <w:pPr>
        <w:pStyle w:val="Heading1"/>
        <w:spacing w:after="160" w:before="360"/>
      </w:pPr>
      <w:r>
        <w:t xml:space="preserve">9. Audit Logging</w:t>
      </w:r>
    </w:p>
    <w:p>
      <w:pPr>
        <w:spacing w:after="140"/>
      </w:pPr>
      <w:r>
        <w:t xml:space="preserve">Extend the existing audit log if TapBoss already has one; otherwise add lightweight logging for sensitive access-control events, without exposing sensitive information unnecessarily: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created / role changed / permission 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access granted / revoked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access granted / revoked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created, client created, vendor created</w:t>
      </w:r>
    </w:p>
    <w:p>
      <w:pPr>
        <w:pStyle w:val="Heading1"/>
        <w:spacing w:after="160" w:before="360"/>
      </w:pPr>
      <w:r>
        <w:t xml:space="preserve">10. Worked Examples</w:t>
      </w:r>
    </w:p>
    <w:p>
      <w:pPr>
        <w:pStyle w:val="Heading2"/>
        <w:spacing w:after="120" w:before="260"/>
      </w:pPr>
      <w:r>
        <w:t xml:space="preserve">10.1 Internal user</w:t>
      </w:r>
    </w:p>
    <w:p>
      <w:pPr>
        <w:spacing w:after="140"/>
      </w:pPr>
      <w:r>
        <w:t xml:space="preserve">John — Access: TargetGum, Hugfab. Permissions: View/Manage clients, View/Manage projects, View reports, Manage tasks.</w:t>
      </w:r>
    </w:p>
    <w:p>
      <w:pPr>
        <w:pStyle w:val="Heading2"/>
        <w:spacing w:after="120" w:before="260"/>
      </w:pPr>
      <w:r>
        <w:t xml:space="preserve">10.2 Client user</w:t>
      </w:r>
    </w:p>
    <w:p>
      <w:pPr>
        <w:spacing w:after="140"/>
      </w:pPr>
      <w:r>
        <w:t xml:space="preserve">ABC Company user — Access: TargetGum only, scoped to their own client record. Permissions: View assigned projects/tasks/reports, upload files, comment. No access to other TargetGum clients, Hugfab, or vendor data.</w:t>
      </w:r>
    </w:p>
    <w:p>
      <w:pPr>
        <w:pStyle w:val="Heading2"/>
        <w:spacing w:after="120" w:before="260"/>
      </w:pPr>
      <w:r>
        <w:t xml:space="preserve">10.3 Vendor user</w:t>
      </w:r>
    </w:p>
    <w:p>
      <w:pPr>
        <w:spacing w:after="140"/>
      </w:pPr>
      <w:r>
        <w:t xml:space="preserve">XYZ Vendor user — Access: TargetGum, scoped to their own vendor record. Permissions: View/update assigned tasks, upload documents, comment.</w:t>
      </w:r>
    </w:p>
    <w:p>
      <w:pPr>
        <w:pStyle w:val="Heading1"/>
        <w:spacing w:after="160" w:before="360"/>
      </w:pPr>
      <w:r>
        <w:t xml:space="preserve">11. Testing Requirements (must pass before this ships)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3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access to all companies, clients, vendors, users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Admin (TargetGum)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access TargetGum; cannot access Hugfab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User (TargetGum → Client A)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Sees only Client A data; no access to Client B, Hugfab, other vendors, internal-only modules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User (TargetGum → Vendor A)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Sees only their own vendor's assigned tasks/documents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Tampered API request (company_id/client_id spoofed)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rejects the request regardless of frontend state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Existing pre-migration user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Logs in and uses the app exactly as before, with no behavior change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12. Implementation &amp; Rollout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memo produced and reviewed (Section 1) — hard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schema design against actual current schema; write additive migrations.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centralized backend authorization helpers; wire into new endpoints only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Companies / Clients / Vendors CRUD screens using existing design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Users &amp; Access / Roles &amp; Permissions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company/client/vendor association to existing modules — only where it makes sense, with nullable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global company selector and client/vendor selector to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Regression-test all pre-existing functionality (Section 11, Test 6, plus full existing test suite if one exists).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new access-control test matrix (Section 11, Tests 1–5).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regressions; re-test.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with a rollback plan: migrations should be reversible, and new UI entry points can be feature-flagged/hidden without affecting existing screens.</w:t>
      </w:r>
    </w:p>
    <w:p>
      <w:pPr>
        <w:pStyle w:val="Heading1"/>
        <w:spacing w:after="160" w:before="360"/>
      </w:pPr>
      <w:r>
        <w:t xml:space="preserve">13. Final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Tapas Hub supports multiple, dynamically-managed sub-companies.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sub-company supports clients and vendors.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be assigned to specific sub-companies, and optionally restricted to specific clients/vendors.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Permissions are assignable by role, module, and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users see only their authorized client data; vendor users see only their authorized vendor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authorization blocks unauthorized access even when frontend-supplied IDs are manipulated.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manage the entire hierarchy end-to-end.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existing users, features, routes, and data continue to work unmodified.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matches the existing TapBoss design system on desktop, tablet, and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existing functionality is removed or unintentionally changed.</w:t>
      </w:r>
    </w:p>
    <w:p>
      <w:pPr>
        <w:pStyle w:val="Heading1"/>
        <w:spacing w:after="160" w:before="360"/>
      </w:pPr>
      <w:r>
        <w:t xml:space="preserve">14. Post-Implementation Report (required deliverable)</w:t>
      </w:r>
    </w:p>
    <w:p>
      <w:pPr>
        <w:spacing w:after="140"/>
      </w:pPr>
      <w:r>
        <w:t xml:space="preserve">Whoever implements this should return a concise report covering: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architecture discovered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changes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Backend/API changes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changes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 model implemented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performed, with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risks or areas requiring manual verification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TapBoss — Multi-Company &amp; Permissions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2026-08-17T12:38:19.114Z</dcterms:created>
  <dcterms:modified xsi:type="dcterms:W3CDTF">2026-08-17T12:38:19.114Z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