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**2026 Outlook: The Impact of AI on Investment Opportunities**</w:t>
      </w:r>
    </w:p>
    <w:p>
      <w:r>
        <w:t>As we move into 2026, one central theme highlighted in the Capital Group’s 2026 Outlook report is the transformative power of artificial intelligence (AI) within global markets. This emergence of AI technology presents a wealth of investment opportunities that industry leaders are eager to explore.</w:t>
      </w:r>
    </w:p>
    <w:p>
      <w:r>
        <w:t>The report notes that investments in AI have surged dramatically, contributing to the robust rally of stocks associated with this technology. The so-called “AI boom” has become comparable to the heights experienced during the dot-com era, yet current AI stock valuations are generally supported by substantial earnings growth. Major tech players such as Alphabet, Amazon, and Microsoft are not only leading this charge but also implementing aggressive capital expenditures that further solidify their market positions. The report cites that AI spending is expected to ripple through the economy, suggesting a scenario where U.S. economic growth could accelerate, even amid labor market challenges.</w:t>
      </w:r>
    </w:p>
    <w:p>
      <w:r>
        <w:t>Equity portfolio managers emphasize that current market dynamics favor a diversified investment approach. There is consensus among them that while the Magnificent Seven—seven dominant U.S. tech stocks—previously drove returns, the landscape is broadening. International markets and sectors like industrials and financials are now gaining traction alongside continued interest in AI-related stocks.</w:t>
      </w:r>
    </w:p>
    <w:p>
      <w:r>
        <w:t>Furthermore, the AI framework is categorized into three investment opportunity layers: the underlying technology stack, operational infrastructure, and the application of AI across various industries. This layered approach highlights how firms involved in infrastructure and application development, such as those focusing on advanced semiconductors or cloud services, will likely see significant benefits.</w:t>
      </w:r>
    </w:p>
    <w:p>
      <w:r>
        <w:t>The report also addresses ongoing debates around whether current AI valuations represent a bubble. Equity portfolio managers lean towards optimism, indicating that we are closer to a sustained growth phase—akin to 1998—rather than a bubble at risk of bursting. The underlying performance metrics look much healthier than in prior market cycles, suggesting that there are still ample opportunities for growth in AI investments.</w:t>
      </w:r>
    </w:p>
    <w:p>
      <w:r>
        <w:t>In addition to direct investments in AI developers, the document urges investors to keep an eye on secondary beneficiaries—including sectors like utilities and financial services—that could leverage AI for operational efficiencies and competitive advantages. Companies such as JPMorgan Chase claim significant cost savings through AI deployments, reaffirming AI’s transformative impact across various domains.</w:t>
      </w:r>
    </w:p>
    <w:p>
      <w:r>
        <w:t>In summary, the 2026 Outlook underscores that AI is not merely a passing trend but rather a pivotal factor shaping future market dynamics. With its growing influence, investors are encouraged to maintain exposure to AI-driven opportunities while diversifying their portfolios to capture the broadening market landscape. This strategic approach will help investors navigate both risks and rewards as AI continues to redefine the investment world.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2026-03-20T03:59:34Z</dcterms:created>
  <dc:creator>Apache POI</dc:creator>
</cp:coreProperties>
</file>