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t>**2026 Outlook Summary: Emphasizing AI's Influence on Investments**</w:t>
      </w:r>
    </w:p>
    <w:p>
      <w:r>
        <w:t>As we look ahead to 2026, the integration of artificial intelligence (AI) is a central theme shaping the investment landscape. The report emphasizes both the opportunities and potential risks associated with this evolving sector.</w:t>
      </w:r>
    </w:p>
    <w:p>
      <w:r>
        <w:t>Investments linked to AI have been a driving force behind market growth, similar to historical technological advancements. While there are concerns about inflated valuations, the underlying performance of key AI leaders like Alphabet, Amazon, Microsoft, and NVIDIA supports their stock prices. Analysts suggest that we may still be in the early stages of a transformative phase, suggesting that the current environment might resemble 1998 more than the bubble-popping year of 2000. The leading firms in AI are better positioned to sustain their capital investments than tech startups during the dot-com boom, which credits current AI-related growth to robust earnings rather than speculation.</w:t>
      </w:r>
    </w:p>
    <w:p>
      <w:r>
        <w:t>The report delineates three significant areas for AI investment: the technology stack, infrastructure, and application development. Companies like Microsoft and Alphabet are not only pivotal in AI software development but are also driving demand for essential hardware components, such as semiconductors. Concurrently, many organizations across sectors—including finance and healthcare—are incorporating AI solutions to enhance operational efficiencies and productivity. For instance, JPMorgan Chase has reportedly saved $2 billion through AI applications.</w:t>
      </w:r>
    </w:p>
    <w:p>
      <w:r>
        <w:t>Market breadth is also increasing, as the dominance of the so-called “Magnificent Seven” tech stocks loosens. The document notes a shift where returns are being driven more broadly across the market, with a notable rally in international stocks. This diversification reduces dependency on a handful of stocks and reflects a healthier investment environment.</w:t>
      </w:r>
    </w:p>
    <w:p>
      <w:r>
        <w:t>Despite the enthusiasm, caution is advised. The report highlights that valuations for equity markets are currently high, which introduces the risk of potential market corrections. Stubborn inflation and growing government debt remain significant concerns, and a market pullback wouldn't be surprising in the coming year.</w:t>
      </w:r>
    </w:p>
    <w:p>
      <w:r>
        <w:t>AI's influence is expected not only in direct tech investments but also as a catalyst for broader economic changes. The overall sentiment is that AI will lead to more pronounced capital investment cycles, as companies reassess their operations and push for greater efficiency through technological adoption.</w:t>
      </w:r>
    </w:p>
    <w:p>
      <w:r>
        <w:t>As AI continues to develop, it presents compelling opportunities for investors who are selective and strategic. Whether through direct investment in AI firms or broader market participation benefitting from AI advancements, the report suggests that staying informed on these trends will be critical for navigating the investment landscape in 2026.</w:t>
      </w:r>
    </w:p>
    <w:p>
      <w:r>
        <w:t>In conclusion, while AI poses risks related to market volatility and valuation pressures, its potential to reshape industries and drive innovation positions it as a cornerstone of future investment strategies.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2026-03-20T04:11:39Z</dcterms:created>
  <dc:creator>Apache POI</dc:creator>
</cp:coreProperties>
</file>