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2A4A"/>
          <w:sz w:val="40"/>
          <w:szCs w:val="40"/>
        </w:rPr>
        <w:t xml:space="preserve">Fighting Fraud That Changes Its Face</w:t>
      </w:r>
    </w:p>
    <w:p>
      <w:pPr>
        <w:spacing w:after="240"/>
        <w:jc w:val="center"/>
      </w:pPr>
      <w:r>
        <w:rPr>
          <w:i/>
          <w:iCs/>
          <w:color w:val="6B7280"/>
          <w:sz w:val="22"/>
          <w:szCs w:val="22"/>
        </w:rPr>
        <w:t xml:space="preserve">Why our fraud model needs a live case file, not a retrain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28"/>
          <w:szCs w:val="28"/>
        </w:rPr>
        <w:t xml:space="preserve">1. Problem Statement</w:t>
      </w:r>
    </w:p>
    <w:p>
      <w:pPr>
        <w:spacing w:after="120" w:line="276"/>
      </w:pPr>
      <w:r>
        <w:rPr>
          <w:sz w:val="21"/>
          <w:szCs w:val="21"/>
        </w:rPr>
        <w:t xml:space="preserve">Fraud models are graded twice: once in the lab, once in the real world. Ours scored 99.8% accuracy in testing — and then recall on live transactions fell to 31.9% within ten weeks of deployment. The model didn't get worse. The fraud got different.</w:t>
      </w:r>
    </w:p>
    <w:p>
      <w:pPr>
        <w:spacing w:after="120" w:line="276"/>
      </w:pPr>
      <w:r>
        <w:rPr>
          <w:sz w:val="21"/>
          <w:szCs w:val="21"/>
        </w:rPr>
        <w:t xml:space="preserve">The trigger was concrete: in July 2017, law enforcement seized the AlphaBay darknet marketplace. Illicit transaction volume dropped from 11.1% to 1.7% overnight, and a stability index tracking the shift (PSI) spiked to 0.81 — four times the level considered dangerous. Criminals didn't stop; they broke into smaller, less obvious transfers that no longer matched what the model had learned to recognize.</w:t>
      </w:r>
    </w:p>
    <w:tbl>
      <w:tblPr>
        <w:tblW w:type="pct" w:w="100%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The real constraint</w:t>
            </w:r>
          </w:p>
          <w:p>
            <w:r>
              <w:rPr>
                <w:color w:val="222222"/>
                <w:sz w:val="20"/>
                <w:szCs w:val="20"/>
              </w:rPr>
              <w:t xml:space="preserve">Banks can't just retrain their way out of this. Verification, compute, and Federal Reserve SR 11-7 model-risk approval add up to roughly 16 weeks. By the time a retrained model clears compliance, the fraud pattern has already moved again.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28"/>
          <w:szCs w:val="28"/>
        </w:rPr>
        <w:t xml:space="preserve">2. Solution</w:t>
      </w:r>
    </w:p>
    <w:p>
      <w:pPr>
        <w:spacing w:after="120" w:line="276"/>
      </w:pPr>
      <w:r>
        <w:rPr>
          <w:sz w:val="21"/>
          <w:szCs w:val="21"/>
        </w:rPr>
        <w:t xml:space="preserve">Instead of retraining the model, we keep it completely frozen — so it never needs to go back through regulatory re-approval — and give it a constantly updated set of recent, verified fraud examples to compare each new transaction against at the moment of scoring.</w:t>
      </w:r>
    </w:p>
    <w:p>
      <w:pPr>
        <w:spacing w:after="120" w:line="276"/>
      </w:pPr>
      <w:r>
        <w:rPr>
          <w:sz w:val="21"/>
          <w:szCs w:val="21"/>
        </w:rPr>
        <w:t xml:space="preserve">Think of it as the difference between two ways of keeping a detective sharp: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Retraining = sending the detective back to the academy every time criminals change tactics — slow, and their credentials have to be re-certified.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In-context learning = handing the same certified detective an updated case file before each shift — instant, and nothing about their standing changes.</w:t>
      </w:r>
    </w:p>
    <w:p>
      <w:pPr>
        <w:spacing w:after="60"/>
      </w:pPr>
      <w:r>
        <w:rPr>
          <w:b/>
          <w:bCs/>
          <w:color w:val="6B7280"/>
          <w:sz w:val="21"/>
          <w:szCs w:val="21"/>
        </w:rPr>
        <w:t xml:space="preserve">Result:  </w:t>
      </w:r>
      <w:r>
        <w:rPr>
          <w:b/>
          <w:bCs/>
          <w:color w:val="2E7D32"/>
          <w:sz w:val="21"/>
          <w:szCs w:val="21"/>
        </w:rPr>
        <w:t xml:space="preserve">Recall on live fraud rose from 31.9% to 74.2%, without retraining the underlying model.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28"/>
          <w:szCs w:val="28"/>
        </w:rPr>
        <w:t xml:space="preserve">3. Approach</w:t>
      </w:r>
    </w:p>
    <w:p>
      <w:pPr>
        <w:spacing w:after="120" w:line="276"/>
      </w:pPr>
      <w:r>
        <w:rPr>
          <w:sz w:val="21"/>
          <w:szCs w:val="21"/>
        </w:rPr>
        <w:t xml:space="preserve">Four steps carry the fraud signal from raw transaction to a defensible decision: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Clean &amp; balance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Scale transaction features, fix missing values, and correct for the fact that real fraud is rare (roughly 1 in 100 transactions) using cost-weighted training.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Select what matters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Three independent statistical methods vote on which of 166 features actually separate fraud from normal activity — reducing noise before the model ever sees the data.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Tune the classifier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 automated search compares six model families under identical conditions and keeps the strongest performer.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Retrieve, don't retrain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 scoring time, pull the most recent and most similar verified fraud cases and let the model weigh both — not just similarity alone.</w:t>
            </w:r>
          </w:p>
        </w:tc>
      </w:tr>
    </w:tbl>
    <w:p>
      <w:pPr>
        <w:spacing w:after="60" w:before="160"/>
      </w:pPr>
    </w:p>
    <w:p>
      <w:pPr>
        <w:spacing w:after="120" w:line="276"/>
      </w:pPr>
      <w:r>
        <w:rPr>
          <w:sz w:val="21"/>
          <w:szCs w:val="21"/>
        </w:rPr>
        <w:t xml:space="preserve">That last stage is the core finding. We tested four ways of choosing which past cases to compare against: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 xml:space="preserve">Figure 1 — Matching only on how similar a transaction looks fails, because 9 in 10 transactions look 'normal.' Matching on recency alone does better. Combining both wins.</w:t>
      </w:r>
    </w:p>
    <w:p>
      <w:pPr>
        <w:spacing w:after="120" w:line="276"/>
      </w:pPr>
      <w:r>
        <w:rPr>
          <w:sz w:val="21"/>
          <w:szCs w:val="21"/>
        </w:rPr>
        <w:t xml:space="preserve">The lesson: similarity alone drowns fraud signal in a sea of legitimate look-alikes. Recency alone catches new tactics but misses stable patterns. Only the combination gets both.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28"/>
          <w:szCs w:val="28"/>
        </w:rPr>
        <w:t xml:space="preserve">4. Design</w:t>
      </w:r>
    </w:p>
    <w:p>
      <w:pPr>
        <w:spacing w:after="120" w:line="276"/>
      </w:pPr>
      <w:r>
        <w:rPr>
          <w:sz w:val="21"/>
          <w:szCs w:val="21"/>
        </w:rPr>
        <w:t xml:space="preserve">The design decision that matters most is what stays fixed and what stays flexible: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Design choice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 weights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Frozen. Never retrained without a full compliance cycle.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Exemplar case file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Refreshed continuously as new fraud is confirmed — no approval cycle required, since the model itself hasn't changed.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Explainability layer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Every flagged transaction carries a feature-level attribution (Tree-SHAP), so an investigator sees exactly why it was flagged.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 trail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Attribution output is formatted to satisfy existing anti-fraud reporting obligations, so compliance review doesn't require new tooling.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28"/>
          <w:szCs w:val="28"/>
        </w:rPr>
        <w:t xml:space="preserve">5. Results</w:t>
      </w:r>
    </w:p>
    <w:p>
      <w:pPr>
        <w:spacing w:after="120" w:line="276"/>
      </w:pPr>
      <w:r>
        <w:rPr>
          <w:sz w:val="21"/>
          <w:szCs w:val="21"/>
        </w:rPr>
        <w:t xml:space="preserve">Two numbers tell the story: whether fraud gets caught, and what that's worth in dollars.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 xml:space="preserve">Figure 2 — The static model looks fine right up until the AlphaBay shock, then collapses and stays collapsed. The in-context model dips slightly at the shock and recovers.</w:t>
      </w:r>
    </w:p>
    <w:p>
      <w:pPr>
        <w:spacing w:after="120" w:line="276"/>
      </w:pPr>
      <w:r>
        <w:rPr>
          <w:sz w:val="21"/>
          <w:szCs w:val="21"/>
        </w:rPr>
        <w:t xml:space="preserve">Commentary: the static model's failure isn't a straight line — it's a cliff. That matters operationally: a slow, visible decline gives a bank time to react; a cliff does not. The in-context model absorbs the same shock in real time because it's comparing against what fraud looks like this week, not what it looked like when it was trained.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 xml:space="preserve">Figure 3 — At $10,000 per missed fraud and $100 per false alarm, the recall gap becomes a $1.196M gap over the same evaluation window.</w:t>
      </w:r>
    </w:p>
    <w:p>
      <w:pPr>
        <w:spacing w:after="120" w:line="276"/>
      </w:pPr>
      <w:r>
        <w:rPr>
          <w:sz w:val="21"/>
          <w:szCs w:val="21"/>
        </w:rPr>
        <w:t xml:space="preserve">Commentary: this is the number a business leader should hold onto. The accuracy story is for the model review board; the cost story is for everyone else.</w:t>
      </w:r>
    </w:p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28"/>
          <w:szCs w:val="28"/>
        </w:rPr>
        <w:t xml:space="preserve">6. Failure and Learning</w:t>
      </w:r>
    </w:p>
    <w:p>
      <w:pPr>
        <w:spacing w:after="120" w:line="276"/>
      </w:pPr>
      <w:r>
        <w:rPr>
          <w:sz w:val="21"/>
          <w:szCs w:val="21"/>
        </w:rPr>
        <w:t xml:space="preserve">Two things did not work on the first attempt, and both changed the final design: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Full retraining as the default response. When we retrained the model on post-shock data, it reached only 44.79% recall — worse than in-context retrieval's 74.2%, and only after paying the full 16-week compliance cost. Lesson: more recent training data isn't automatically better if the retrieval mechanism at scoring time is doing the wrong thing.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Similarity-only retrieval. Our first version of the exemplar retriever matched purely on how alike a transaction looked to past fraud. It scored only 10% AUPRC — worse than picking exemplars at random (35%). Lesson: in a dataset where fraud is rare, 'similar-looking' mostly means 'similarly normal.' Recency turned out to be doing most of the real work, and only became reliable once paired with similarity rather than used alone.</w:t>
      </w:r>
    </w:p>
    <w:tbl>
      <w:tblPr>
        <w:tblW w:type="pct" w:w="100%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Why this matters beyond this project</w:t>
            </w:r>
          </w:p>
          <w:p>
            <w:r>
              <w:rPr>
                <w:color w:val="222222"/>
                <w:sz w:val="20"/>
                <w:szCs w:val="20"/>
              </w:rPr>
              <w:t xml:space="preserve">Both failures point at the same trap: a method that wins on a static, historical test set (high similarity match, or a freshly retrained model) can lose on live data, because live fraud is adversarial — it's actively trying to stop looking like what was trained on.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40" w:before="320"/>
      </w:pPr>
      <w:r>
        <w:rPr>
          <w:b/>
          <w:bCs/>
          <w:color w:val="1B2A4A"/>
          <w:sz w:val="28"/>
          <w:szCs w:val="28"/>
        </w:rPr>
        <w:t xml:space="preserve">7. Conclusion</w:t>
      </w:r>
    </w:p>
    <w:p>
      <w:pPr>
        <w:spacing w:after="120" w:line="276"/>
      </w:pPr>
      <w:r>
        <w:rPr>
          <w:sz w:val="21"/>
          <w:szCs w:val="21"/>
        </w:rPr>
        <w:t xml:space="preserve">Freezing the model and refreshing its evidence, instead of retraining it, closes most of the gap between lab performance and live performance — 74.2% recall versus 31.9% — without touching the 16-week regulatory clock. The remaining work is operational: get this retrieval loop running fast enough for real transaction volumes, and keep feeding it verified fraud as it's confirmed.</w:t>
      </w:r>
    </w:p>
    <w:p>
      <w:pPr>
        <w:spacing w:after="60"/>
      </w:pPr>
      <w:r>
        <w:rPr>
          <w:b/>
          <w:bCs/>
          <w:color w:val="6B7280"/>
          <w:sz w:val="21"/>
          <w:szCs w:val="21"/>
        </w:rPr>
        <w:t xml:space="preserve">Bottom line:  </w:t>
      </w:r>
      <w:r>
        <w:rPr>
          <w:b/>
          <w:bCs/>
          <w:color w:val="1B2A4A"/>
          <w:sz w:val="21"/>
          <w:szCs w:val="21"/>
        </w:rPr>
        <w:t xml:space="preserve">Don't rebuild the detective. Keep their case file current.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Fraud Analytics — In-Context Learning for Temporal Drift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e9eef756f2af9a15b056190c2384e2b8ba0d87.png"/><Relationship Id="rId10" Type="http://schemas.openxmlformats.org/officeDocument/2006/relationships/image" Target="media/a93c77974a6de18a9c3a49ece06d88193d968168.png"/><Relationship Id="rId11" Type="http://schemas.openxmlformats.org/officeDocument/2006/relationships/image" Target="media/afafce919b18dbc8ca717e7e1712e125ddd703d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2026-09-13T17:28:19.530Z</dcterms:created>
  <dcterms:modified xsi:type="dcterms:W3CDTF">2026-09-13T17:28:19.540Z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