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DC253">
      <w:pPr>
        <w:pStyle w:val="2"/>
      </w:pPr>
      <w:r>
        <w:t>Trade Fail Report</w:t>
      </w:r>
    </w:p>
    <w:p w14:paraId="6D0742C6">
      <w:r>
        <w:t>Date: [</w:t>
      </w:r>
      <w:r>
        <w:rPr>
          <w:rFonts w:hint="default"/>
          <w:lang w:val="en-US"/>
        </w:rPr>
        <w:t>14</w:t>
      </w:r>
      <w:bookmarkStart w:id="0" w:name="_GoBack"/>
      <w:bookmarkEnd w:id="0"/>
      <w:r>
        <w:rPr>
          <w:rFonts w:hint="default"/>
          <w:lang w:val="en-US"/>
        </w:rPr>
        <w:t xml:space="preserve"> April 2026</w:t>
      </w:r>
      <w:r>
        <w:t>]</w:t>
      </w:r>
    </w:p>
    <w:p w14:paraId="6A11850F">
      <w:r>
        <w:t>Analyst Name: [</w:t>
      </w:r>
      <w:r>
        <w:rPr>
          <w:rFonts w:hint="default"/>
          <w:lang w:val="en-US"/>
        </w:rPr>
        <w:t>Rajeev Tiwari</w:t>
      </w:r>
      <w:r>
        <w:t>]</w:t>
      </w:r>
    </w:p>
    <w:p w14:paraId="4672648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t xml:space="preserve">Client Name: </w:t>
      </w:r>
      <w:r>
        <w:rPr>
          <w:rFonts w:hint="default"/>
          <w:lang w:val="en-US"/>
        </w:rPr>
        <w:t>[</w:t>
      </w:r>
      <w:r>
        <w:rPr>
          <w:rFonts w:ascii="SimSun" w:hAnsi="SimSun" w:eastAsia="SimSun" w:cs="SimSun"/>
          <w:sz w:val="24"/>
          <w:szCs w:val="24"/>
        </w:rPr>
        <w:t>UHNW Client – Art Acquisition (Takashi Murakami Artwork Purchase</w:t>
      </w:r>
      <w:r>
        <w:rPr>
          <w:rFonts w:hint="default" w:ascii="SimSun" w:hAnsi="SimSun" w:eastAsia="SimSun" w:cs="SimSun"/>
          <w:sz w:val="24"/>
          <w:szCs w:val="24"/>
          <w:lang w:val="en-US"/>
        </w:rPr>
        <w:t>)]</w:t>
      </w:r>
    </w:p>
    <w:p w14:paraId="7BF719B3">
      <w:pPr>
        <w:pStyle w:val="3"/>
      </w:pPr>
      <w:r>
        <w:t>1. Summary of Identified Issues</w:t>
      </w:r>
    </w:p>
    <w:p w14:paraId="6C7FDE3E">
      <w:pPr>
        <w:pStyle w:val="33"/>
        <w:keepNext w:val="0"/>
        <w:keepLines w:val="0"/>
        <w:widowControl/>
        <w:suppressLineNumbers w:val="0"/>
      </w:pPr>
      <w:r>
        <w:t>Issue 1: [Incomplete KYC documentation for the beneficiary account, causing compliance hold on fund transfer.</w:t>
      </w:r>
      <w:r>
        <w:rPr>
          <w:rFonts w:hint="default"/>
          <w:lang w:val="en-US"/>
        </w:rPr>
        <w:t>]</w:t>
      </w:r>
    </w:p>
    <w:p w14:paraId="4122B431">
      <w:r>
        <w:t>Issue 2: [FX conversion delay due to mismatch between USD and JPY settlement instructions, impacting timely execution.]</w:t>
      </w:r>
    </w:p>
    <w:p w14:paraId="7BC61C4F">
      <w:r>
        <w:t>Issue 3: [Trade settlement reference mismatch between Trading Desk and Custody system leading to reconciliation failure.]</w:t>
      </w:r>
    </w:p>
    <w:p w14:paraId="49FAAE07">
      <w:pPr>
        <w:pStyle w:val="3"/>
      </w:pPr>
      <w:r>
        <w:t>2. Actions Taken</w:t>
      </w:r>
    </w:p>
    <w:p w14:paraId="3006E98E">
      <w:r>
        <w:t>Action for Issue 1: [Escalated to Compliance team to fast-track KYC verification and validate client identity documents.]</w:t>
      </w:r>
    </w:p>
    <w:p w14:paraId="2DE2A9AC">
      <w:pPr>
        <w:pStyle w:val="33"/>
        <w:keepNext w:val="0"/>
        <w:keepLines w:val="0"/>
        <w:widowControl/>
        <w:suppressLineNumbers w:val="0"/>
      </w:pPr>
      <w:r>
        <w:t>Action for Issue 2: [Coordinated with Trading Desk to correct FX settlement instructions and re-initiate currency conversion.]</w:t>
      </w:r>
    </w:p>
    <w:p w14:paraId="1E6DD923">
      <w:r>
        <w:t>Action for Issue 3: [Engaged Operations Reconciliation team to align trade reference IDs and correct booking entries in custody system.]</w:t>
      </w:r>
    </w:p>
    <w:p w14:paraId="5069D1B5">
      <w:pPr>
        <w:pStyle w:val="3"/>
      </w:pPr>
      <w:r>
        <w:t>3. Teams Involved</w:t>
      </w:r>
    </w:p>
    <w:p w14:paraId="51996A65">
      <w:r>
        <w:t>Team for Issue 1: [ Compliance and Risk Management Team]</w:t>
      </w:r>
    </w:p>
    <w:p w14:paraId="754F7FC0">
      <w:r>
        <w:t>Team for Issue 2: [Trading Desk / FX Operations Team]</w:t>
      </w:r>
    </w:p>
    <w:p w14:paraId="01D502D8">
      <w:r>
        <w:t>Team for Issue 3: [Middle Office Operations / Reconciliation Team]</w:t>
      </w:r>
    </w:p>
    <w:p w14:paraId="55DF47D5">
      <w:pPr>
        <w:pStyle w:val="3"/>
      </w:pPr>
      <w:r>
        <w:t>4. Risk Assessment</w:t>
      </w:r>
    </w:p>
    <w:p w14:paraId="6CE14093">
      <w:pPr>
        <w:pStyle w:val="33"/>
        <w:keepNext w:val="0"/>
        <w:keepLines w:val="0"/>
        <w:widowControl/>
        <w:suppressLineNumbers w:val="0"/>
      </w:pPr>
      <w:r>
        <w:t>Risk for Issue 1: [Regulatory non-compliance risk leading to transaction freeze and potential penalties.]</w:t>
      </w:r>
    </w:p>
    <w:p w14:paraId="7038005B">
      <w:r>
        <w:t>Risk for Issue 2: [Financial loss due to FX rate fluctuation and delayed settlement impacting client execution timeline.]</w:t>
      </w:r>
    </w:p>
    <w:p w14:paraId="33A0089B">
      <w:pPr>
        <w:pStyle w:val="33"/>
        <w:keepNext w:val="0"/>
        <w:keepLines w:val="0"/>
        <w:widowControl/>
        <w:suppressLineNumbers w:val="0"/>
      </w:pPr>
      <w:r>
        <w:t>Risk for Issue 3: [Operational risk leading to settlement failure, reporting mismatch, and audit discrepancies.]</w:t>
      </w:r>
    </w:p>
    <w:p w14:paraId="0102CF20">
      <w:pPr>
        <w:pStyle w:val="3"/>
      </w:pPr>
      <w:r>
        <w:t>5. Mitigation Strategies</w:t>
      </w:r>
    </w:p>
    <w:p w14:paraId="339A894B">
      <w:r>
        <w:t>Mitigation for Issue 1: [Implement pre-validation of KYC documents before initiating high-value UHNW transactions.]</w:t>
      </w:r>
    </w:p>
    <w:p w14:paraId="7FC70A14">
      <w:r>
        <w:t>Mitigation for Issue 2: [Use standardized FX settlement templates and pre-approve currency conversion instructions</w:t>
      </w:r>
      <w:r>
        <w:rPr>
          <w:rFonts w:hint="default"/>
          <w:lang w:val="en-US"/>
        </w:rPr>
        <w:t>.</w:t>
      </w:r>
      <w:r>
        <w:t>]</w:t>
      </w:r>
    </w:p>
    <w:p w14:paraId="5FB9465F">
      <w:r>
        <w:t>Mitigation for Issue 3: [Introduce automated trade reference matching between Trading and Custody systems to reduce manual errors.]</w:t>
      </w:r>
    </w:p>
    <w:p w14:paraId="27772165">
      <w:pPr>
        <w:pStyle w:val="3"/>
      </w:pPr>
      <w:r>
        <w:t>6. Follow-Up Actions</w:t>
      </w:r>
    </w:p>
    <w:p w14:paraId="08AF16D4">
      <w:r>
        <w:t>Follow-Up for Issue 1: [Confirm completion of KYC clearance before releasing funds.]</w:t>
      </w:r>
    </w:p>
    <w:p w14:paraId="6C3D1765">
      <w:r>
        <w:t>Follow-Up for Issue 2: [Monitor FX execution and confirm settlement confirmation from counterparty bank.]</w:t>
      </w:r>
    </w:p>
    <w:p w14:paraId="1E04C974">
      <w:r>
        <w:t>Follow-Up for Issue 3: [Perform end-of-day reconciliation and report discrepancies to Operations lead.]</w:t>
      </w:r>
    </w:p>
    <w:p w14:paraId="731626B2">
      <w:pPr>
        <w:pStyle w:val="3"/>
      </w:pPr>
      <w:r>
        <w:t>7. Recommendations</w:t>
      </w:r>
    </w:p>
    <w:p w14:paraId="5E7F3341">
      <w:pPr>
        <w:pStyle w:val="33"/>
        <w:keepNext w:val="0"/>
        <w:keepLines w:val="0"/>
        <w:widowControl/>
        <w:suppressLineNumbers w:val="0"/>
      </w:pPr>
      <w:r>
        <w:t>Recommendation for Future Improvements: [To prevent similar issues in future UHNW transactions, it is recommended to:]</w:t>
      </w:r>
    </w:p>
    <w:p w14:paraId="4D5DFE7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Implement a </w:t>
      </w:r>
      <w:r>
        <w:rPr>
          <w:rStyle w:val="34"/>
        </w:rPr>
        <w:t>pre-trade compliance validation checklist</w:t>
      </w:r>
      <w:r>
        <w:t xml:space="preserve"> for all high-value transactions </w:t>
      </w:r>
    </w:p>
    <w:p w14:paraId="5B314DD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Strengthen </w:t>
      </w:r>
      <w:r>
        <w:rPr>
          <w:rStyle w:val="34"/>
        </w:rPr>
        <w:t>system integration between Trading Desk and Custody platforms</w:t>
      </w:r>
      <w:r>
        <w:t xml:space="preserve"> </w:t>
      </w:r>
    </w:p>
    <w:p w14:paraId="3049386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Introduce </w:t>
      </w:r>
      <w:r>
        <w:rPr>
          <w:rStyle w:val="34"/>
        </w:rPr>
        <w:t>real-time FX instruction validation controls</w:t>
      </w:r>
      <w:r>
        <w:t xml:space="preserve"> </w:t>
      </w:r>
    </w:p>
    <w:p w14:paraId="3730DF1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Conduct periodic </w:t>
      </w:r>
      <w:r>
        <w:rPr>
          <w:rStyle w:val="34"/>
        </w:rPr>
        <w:t>operational risk audits for UHNW transaction workflows</w:t>
      </w:r>
    </w:p>
    <w:p w14:paraId="61103E53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5F4CEF"/>
    <w:multiLevelType w:val="multilevel"/>
    <w:tmpl w:val="C75F4C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DA56B6"/>
    <w:rsid w:val="29A8117F"/>
    <w:rsid w:val="698E59B9"/>
    <w:rsid w:val="69995D70"/>
    <w:rsid w:val="6CC04577"/>
    <w:rsid w:val="74B9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252</Words>
  <Characters>1319</Characters>
  <Lines>0</Lines>
  <Paragraphs>0</Paragraphs>
  <TotalTime>14</TotalTime>
  <ScaleCrop>false</ScaleCrop>
  <LinksUpToDate>false</LinksUpToDate>
  <CharactersWithSpaces>1541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Rajeev Tiwari</cp:lastModifiedBy>
  <dcterms:modified xsi:type="dcterms:W3CDTF">2026-04-14T16:11:22Z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eyJoZGlkIjoiNjQ5NTU1NGQ1NTZhYTI1Y2UwNTE5Mzk1ZmNlNTgxNzEiLCJ1c2VySWQiOiI1Njc0NzMxOTMyOTUifQ==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F0B4DB7CF55C42E1B4CD8B075621FBFD_12</vt:lpwstr>
  </property>
</Properties>
</file>