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4E79"/>
          <w:sz w:val="48"/>
          <w:szCs w:val="48"/>
        </w:rPr>
        <w:t xml:space="preserve">Indian Equity Investor</w:t>
      </w:r>
    </w:p>
    <w:p>
      <w:pPr>
        <w:spacing w:after="40"/>
        <w:jc w:val="center"/>
      </w:pPr>
      <w:r>
        <w:rPr>
          <w:color w:val="2E75B6"/>
          <w:sz w:val="28"/>
          <w:szCs w:val="28"/>
        </w:rPr>
        <w:t xml:space="preserve">Architecture &amp; Design Document</w:t>
      </w:r>
    </w:p>
    <w:p>
      <w:pPr>
        <w:pBdr>
          <w:bottom w:val="single" w:color="2E75B6" w:sz="6" w:space="4"/>
        </w:pBdr>
        <w:spacing w:after="240"/>
        <w:jc w:val="center"/>
      </w:pPr>
      <w:r>
        <w:rPr>
          <w:color w:val="808080"/>
          <w:sz w:val="18"/>
          <w:szCs w:val="18"/>
        </w:rPr>
        <w:t xml:space="preserve">June 2026 · v1.0</w:t>
      </w:r>
    </w:p>
    <w:p>
      <w:pPr>
        <w:pStyle w:val="Heading1"/>
      </w:pPr>
      <w:r>
        <w:t xml:space="preserve">1. What the System Is</w:t>
      </w:r>
    </w:p>
    <w:p>
      <w:pPr>
        <w:spacing w:after="120"/>
      </w:pPr>
      <w:r>
        <w:t xml:space="preserve">A production Python package that runs a 10-step, AI-assisted value-investing pipeline over Indian equities (NSE/BSE), targeting 15%+ CAGR ideas. Claude is the reasoning engine for qualitative judgments only; everything that can be arithmetic is deterministic Python. Live data comes from NSE, BSE, Screener.in, Trendlyne and Yahoo Finance, and every completed analysis is persisted to a local SQLite database that also powers watch-listing, surveillance, portfolio tax tracking and backtesting.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848100"/>
            <wp:effectExtent t="0" r="0" b="0" l="0"/>
            <wp:docPr id="1" name="System architecture" descr="System architecture" title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The Pipeline and Its Gates</w:t>
      </w:r>
    </w:p>
    <w:p>
      <w:pPr>
        <w:spacing w:after="120"/>
      </w:pPr>
      <w:r>
        <w:t xml:space="preserve">The core design idea is a funnel of cheap-to-expensive checks. A single mutable AnalysisState flows through ten steps; three steps are hard gates that terminate the run early (governance failures can never be rescued by a good valuation — the hierarchy is Governance &gt; Business Quality &gt; Financials &gt; Valuation). A valuation failure deliberately does not terminate: the stock continues through technical, peer and premortem analysis so the resulting WATCHLIST entry is actionable later without paying for a re-run.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733800"/>
            <wp:effectExtent t="0" r="0" b="0" l="0"/>
            <wp:docPr id="1" name="Pipeline gates and model routing" descr="Pipeline gates and model routing" title="Pipeline gates and model ro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Cost Optimization</w:t>
      </w:r>
    </w:p>
    <w:p>
      <w:pPr>
        <w:spacing w:after="120"/>
      </w:pPr>
      <w:r>
        <w:t xml:space="preserve">LLM spend is treated as a first-class architectural constraint. The batch scanner is built as a two-phase funnel so Claude tokens are spent on roughly 2% of the universe: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162300"/>
            <wp:effectExtent t="0" r="0" b="0" l="0"/>
            <wp:docPr id="1" name="Two-phase scan cost funnel" descr="Two-phase scan cost funnel" title="Two-phase scan cost fu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Deterministic Steps 0, 3, 5, 6 + peer ranking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Pure arithmetic needs no LLM — auditable, free, reproducible (also enables backtesting)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Sonnet only for Step 2 moat research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single open-ended research task; all other LLM steps are small-JSON Haiku calls (256–600 max_tokens)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Message-prefix prompt caching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moving ephemeral cache breakpoint lets each agentic-loop iteration re-read the conversation at ~10% input price — chosen over the Batch API’s flat 50% discount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Thesis call skipped for REJECT / PEER_SWITCH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Those templates show no thesis, so the call would be wasted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7-day SQLite warm cache for scans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Repeated weekly index scans skip HTTP and LLM work almost entirely</w:t>
            </w:r>
          </w:p>
        </w:tc>
      </w:tr>
    </w:tbl>
    <w:p>
      <w:pPr>
        <w:pStyle w:val="Heading1"/>
      </w:pPr>
      <w:r>
        <w:t xml:space="preserve">4. Performance &amp; Concurrency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Async everywhere: </w:t>
      </w:r>
      <w:r>
        <w:t xml:space="preserve">httpx.AsyncClient HTTP clients, aiosqlite persistence, asyncio.gather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Bounded concurrency: </w:t>
      </w:r>
      <w:r>
        <w:t xml:space="preserve">pre-screen capped by Semaphore(8); full analyses by Semaphore(3); a module-level Semaphore(2) shared across all ScreenerClient instances prevents thundering-herd 429s.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cache layers: </w:t>
      </w:r>
      <w:r>
        <w:t xml:space="preserve">an in-process TTL DataCache (quote 1 h, financials 24 h, Nifty mode 15 min) plus the SQLite snapshot warm cache (7 days) — data fetched in scan Phase 2 is reused free in Phase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SQLite in WAL mode </w:t>
      </w:r>
      <w:r>
        <w:t xml:space="preserve">(synchronous=NORMAL) so concurrent batch-scan writers never block readers.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shared AsyncAnthropic client </w:t>
      </w:r>
      <w:r>
        <w:t xml:space="preserve">across all Phase 3 pipelines; tenacity retry (3 attempts, exponential 5–60 s) wraps every Claude call and HTTP client.</w:t>
      </w:r>
    </w:p>
    <w:p>
      <w:pPr>
        <w:pStyle w:val="Heading1"/>
      </w:pPr>
      <w:r>
        <w:t xml:space="preserve">5. Security</w:t>
      </w:r>
    </w:p>
    <w:p>
      <w:pPr>
        <w:spacing w:after="120"/>
      </w:pPr>
      <w:r>
        <w:t xml:space="preserve">Step 2 gives Claude web tools, which makes fetched pages an attack surface. Defenses are layered: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SSRF guard: </w:t>
      </w:r>
      <w:r>
        <w:t xml:space="preserve">URLs must be http/https; the host is DNS-resolved and rejected if any address is non-global (loopback, RFC1918, link-local/cloud-metadata, CGN, decimal-encoded IPs). Redirects are followed manually (max 5 hops) and re-validated per hop, so a public page cannot bounce the agent onto an internal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Prompt-injection hardening: </w:t>
      </w:r>
      <w:r>
        <w:t xml:space="preserve">BeautifulSoup strips all HTML (script/style included); a regex pass redacts injection patterns (“ignore all previous instructions”, “system prompt:”, …); raw HTML never reaches the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Untrusted-content delimiters: </w:t>
      </w:r>
      <w:r>
        <w:t xml:space="preserve">all web output is wrapped in &lt;untrusted_web_content&gt; tags (escaped copies inside page text are redacted so a page cannot close the region early); the system prompt declares that content inside is data, never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integrity rules: </w:t>
      </w:r>
      <w:r>
        <w:t xml:space="preserve">metrics are never fabricated — estimates are labelled [ESTIMATE], unverified data [DATA UNVERIFIED]; a SEBI record only counts as clean when the check actually ran.</w:t>
      </w:r>
    </w:p>
    <w:p>
      <w:pPr>
        <w:pStyle w:val="Heading1"/>
      </w:pPr>
      <w:r>
        <w:t xml:space="preserve">6. Reliability &amp; Optimum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Fallback chains per source: </w:t>
      </w:r>
      <w:r>
        <w:t xml:space="preserve">NSE→yfinance (quotes), NSE→BSE→Screener (shareholding), Trendlyne→yfinance (valuation), NSE JSON→archives CSV→bundled list (universe). Failures become ER-01…ER-08 tags on state instead of exceptions. A module-level circuit breaker skips BSE for the remainder of the process after 10 consecutive infrastructure failures — one summary warning instead of two per ticker, with shareholding falling straight through to Screener.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Graceful degradation: </w:t>
      </w:r>
      <w:r>
        <w:t xml:space="preserve">≥5 accumulated error tags auto-downgrades a BUY to WATCHLIST (ER-05) — a thin-data run can lower conviction but never crash or silently pretend the data was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DB writes are non-fatal: </w:t>
      </w:r>
      <w:r>
        <w:t xml:space="preserve">every save is wrapped in try/except; persistence problems never break analysis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Sector-aware scoring: </w:t>
      </w:r>
      <w:r>
        <w:t xml:space="preserve">seven sector profiles override gate thresholds (e.g. D/E waived for lenders, mid-cycle FCF normalization for cyclicals); edge-case handlers (EC-01 pre-profit, EC-02 cyclical, EC-04 conglomerate, EC-06 MNC, EC-11 illiquidity) fire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Closed feedback loop: </w:t>
      </w:r>
      <w:r>
        <w:t xml:space="preserve">raw data snapshots are stored on every run, so the backtest command can replay the deterministic gates against history and validate thresholds against forward returns vs the Nifty — with zero LLM cost.</w:t>
      </w:r>
    </w:p>
    <w:p>
      <w:pPr>
        <w:pStyle w:val="Heading1"/>
      </w:pPr>
      <w:r>
        <w:t xml:space="preserve">7. Key Design Decisions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Alternative rejected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Deterministic DCF in Python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LLM-computed valuation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Auditability, zero cost, backtestability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Haiku for 5 of 6 LLM steps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Sonnet everywhere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~10× cheaper for small JSON outputs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Prompt caching in agentic loop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Batch API (50% discount)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Cache-read price (~10%) beats batch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5 FAIL → continue, not terminate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Terminate on FAIL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WATCHLIST entries stay actionable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SQLite + WAL, single file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 / cloud 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Single-user tool; zero ops overhead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DNS-resolution SSRF guard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Regex IP blocklist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Blocks decimal IPs &amp; DNS rebinding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FIFO lot consumption for sells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Average-cost accounting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Indian LTCG/STCG tax rules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Snapshot-first persistence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 only final verdicts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Enables drift surveillance + backtests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CCCCCC" w:sz="4" w:space="4"/>
        </w:pBdr>
        <w:spacing w:before="120"/>
      </w:pPr>
      <w:r>
        <w:rPr>
          <w:i/>
          <w:iCs/>
          <w:color w:val="808080"/>
          <w:sz w:val="18"/>
          <w:szCs w:val="18"/>
        </w:rPr>
        <w:t xml:space="preserve">Source of truth: CLAUDE.md and src/ in the repository. This document summarizes the architecture as of June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Indian Equity Investor — Architecture &amp;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32b83c3e6795d4f432107f53286dd91f1d28dd.png"/><Relationship Id="rId10" Type="http://schemas.openxmlformats.org/officeDocument/2006/relationships/image" Target="media/c56fb16d70c96dae91d1aadaaeaa3568d1a3433f.png"/><Relationship Id="rId11" Type="http://schemas.openxmlformats.org/officeDocument/2006/relationships/image" Target="media/b6d6532016060436be9ead1a11f3a99a86b5033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2026-06-11T13:30:51.645Z</dcterms:created>
  <dcterms:modified xsi:type="dcterms:W3CDTF">2026-06-11T13:30:51.987Z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