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65D"/>
          <w:sz w:val="52"/>
        </w:rPr>
        <w:t>Apache Flink Kubernetes Operator</w:t>
      </w:r>
    </w:p>
    <w:p>
      <w:pPr>
        <w:jc w:val="center"/>
      </w:pPr>
      <w:r>
        <w:rPr>
          <w:color w:val="2F5597"/>
          <w:sz w:val="32"/>
        </w:rPr>
        <w:t>Developer Questionnaire, Infrastructure Permissions &amp; Approval Checklist</w:t>
      </w:r>
    </w:p>
    <w:p>
      <w:pPr>
        <w:spacing w:before="360"/>
        <w:jc w:val="center"/>
      </w:pPr>
      <w:r>
        <w:rPr>
          <w:i/>
          <w:color w:val="5A5A5A"/>
          <w:sz w:val="22"/>
        </w:rPr>
        <w:t>For OpenShift / Kubernetes Platform Teams</w:t>
      </w:r>
    </w:p>
    <w:tbl>
      <w:tblPr>
        <w:tblStyle w:val="TableGrid"/>
        <w:tblW w:type="auto" w:w="0"/>
        <w:jc w:val="center"/>
        <w:tblLook w:firstColumn="1" w:firstRow="1" w:lastColumn="0" w:lastRow="0" w:noHBand="0" w:noVBand="1" w:val="04A0"/>
      </w:tblPr>
      <w:tblGrid>
        <w:gridCol w:w="10224"/>
      </w:tblGrid>
      <w:tr>
        <w:tc>
          <w:tcPr>
            <w:tcW w:type="dxa" w:w="10224"/>
            <w:shd w:fill="EAF2F8"/>
            <w:tcMar>
              <w:top w:w="140" w:type="dxa"/>
              <w:start w:w="180" w:type="dxa"/>
              <w:bottom w:w="140" w:type="dxa"/>
              <w:end w:w="180" w:type="dxa"/>
            </w:tcMar>
          </w:tcPr>
          <w:p>
            <w:pPr>
              <w:jc w:val="center"/>
            </w:pPr>
            <w:r>
              <w:rPr>
                <w:b/>
                <w:color w:val="1F4E79"/>
                <w:sz w:val="21"/>
              </w:rPr>
              <w:t>Purpose: define exactly what the application team needs before infra installs or grants permissions to the Flink Kubernetes Operator.</w:t>
            </w:r>
          </w:p>
        </w:tc>
      </w:tr>
    </w:tbl>
    <w:p/>
    <w:p>
      <w:pPr>
        <w:jc w:val="center"/>
      </w:pPr>
      <w:r>
        <w:rPr>
          <w:color w:val="505050"/>
          <w:sz w:val="20"/>
        </w:rPr>
        <w:t>Key principle: least privilege first. Do not default to anyuid, cluster-wide watch scope, or broad ClusterRole permissions without a documented requirement.</w:t>
      </w:r>
    </w:p>
    <w:p>
      <w:r>
        <w:br w:type="page"/>
      </w:r>
    </w:p>
    <w:p>
      <w:pPr>
        <w:pStyle w:val="Heading1"/>
      </w:pPr>
      <w:r>
        <w:t>1. Executive Summary</w:t>
      </w:r>
    </w:p>
    <w:p>
      <w:r>
        <w:t xml:space="preserve">Before installing the Flink Kubernetes Operator, the infrastructure team should require the developer/application team to define four security-sensitive decisions: </w:t>
      </w:r>
      <w:r>
        <w:rPr>
          <w:b/>
        </w:rPr>
        <w:t>namespace/watch scope, RBAC, SCC/UID requirements, and webhook/cert-manager usage.</w:t>
      </w:r>
    </w:p>
    <w:p>
      <w:r>
        <w:t>The POC showed a practical example of why this matters: the operator container requested a fixed Linux UID (9999), while OpenShift restricted the namespace to a different UID range. The pod was rejected until an SCC-compatible approach was selected.</w:t>
      </w:r>
    </w:p>
    <w:p>
      <w:pPr>
        <w:pStyle w:val="ListBullet"/>
        <w:spacing w:after="60"/>
      </w:pPr>
      <w:r>
        <w:t>Prefer namespace-scoped watch permissions unless there is a justified need for cluster-wide operation.</w:t>
      </w:r>
    </w:p>
    <w:p>
      <w:pPr>
        <w:pStyle w:val="ListBullet"/>
        <w:spacing w:after="60"/>
      </w:pPr>
      <w:r>
        <w:t>Prefer OpenShift restricted security policies and arbitrary UID-compatible images over granting anyuid.</w:t>
      </w:r>
    </w:p>
    <w:p>
      <w:pPr>
        <w:pStyle w:val="ListBullet"/>
        <w:spacing w:after="60"/>
      </w:pPr>
      <w:r>
        <w:t>Enable admission webhooks only when the team requires them and the certificate-management dependency is approved.</w:t>
      </w:r>
    </w:p>
    <w:p>
      <w:pPr>
        <w:pStyle w:val="ListBullet"/>
        <w:spacing w:after="60"/>
      </w:pPr>
      <w:r>
        <w:t>Separate operator service-account permissions from JobManager/TaskManager application service-account permissions.</w:t>
      </w:r>
    </w:p>
    <w:p>
      <w:pPr>
        <w:pStyle w:val="ListBullet"/>
        <w:spacing w:after="60"/>
      </w:pPr>
      <w:r>
        <w:t>Treat storage, Kafka connectivity, image registry, checkpoint/savepoint locations, and resource sizing as onboarding inputs—not after-installation surprises.</w:t>
      </w:r>
    </w:p>
    <w:p>
      <w:pPr>
        <w:pStyle w:val="Heading1"/>
      </w:pPr>
      <w:r>
        <w:t>2. Questions to Ask the Developer / Application Team</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shd w:fill="1F4E78"/>
            <w:vAlign w:val="center"/>
            <w:tcMar>
              <w:top w:w="90" w:type="dxa"/>
              <w:start w:w="100" w:type="dxa"/>
              <w:bottom w:w="90" w:type="dxa"/>
              <w:end w:w="100" w:type="dxa"/>
            </w:tcMar>
          </w:tcPr>
          <w:p>
            <w:pPr>
              <w:jc w:val="center"/>
            </w:pPr>
            <w:r>
              <w:rPr>
                <w:b/>
                <w:color w:val="FFFFFF"/>
                <w:sz w:val="19"/>
              </w:rPr>
              <w:t>Area</w:t>
            </w:r>
          </w:p>
        </w:tc>
        <w:tc>
          <w:tcPr>
            <w:tcW w:type="dxa" w:w="5112"/>
            <w:shd w:fill="1F4E78"/>
            <w:vAlign w:val="center"/>
            <w:tcMar>
              <w:top w:w="90" w:type="dxa"/>
              <w:start w:w="100" w:type="dxa"/>
              <w:bottom w:w="90" w:type="dxa"/>
              <w:end w:w="100" w:type="dxa"/>
            </w:tcMar>
          </w:tcPr>
          <w:p>
            <w:pPr>
              <w:jc w:val="center"/>
            </w:pPr>
            <w:r>
              <w:rPr>
                <w:b/>
                <w:color w:val="FFFFFF"/>
                <w:sz w:val="19"/>
              </w:rPr>
              <w:t>Question to Developer Team</w:t>
            </w:r>
          </w:p>
        </w:tc>
        <w:tc>
          <w:tcPr>
            <w:tcW w:type="dxa" w:w="3096"/>
            <w:shd w:fill="1F4E78"/>
            <w:vAlign w:val="center"/>
            <w:tcMar>
              <w:top w:w="90" w:type="dxa"/>
              <w:start w:w="100" w:type="dxa"/>
              <w:bottom w:w="90" w:type="dxa"/>
              <w:end w:w="100" w:type="dxa"/>
            </w:tcMar>
          </w:tcPr>
          <w:p>
            <w:pPr>
              <w:jc w:val="center"/>
            </w:pPr>
            <w:r>
              <w:rPr>
                <w:b/>
                <w:color w:val="FFFFFF"/>
                <w:sz w:val="19"/>
              </w:rPr>
              <w:t>Infra Outcome</w:t>
            </w:r>
          </w:p>
        </w:tc>
      </w:tr>
      <w:tr>
        <w:trPr>
          <w:cantSplit/>
        </w:trPr>
        <w:tc>
          <w:tcPr>
            <w:tcW w:type="dxa" w:w="2088"/>
            <w:vAlign w:val="top"/>
            <w:tcMar>
              <w:top w:w="90" w:type="dxa"/>
              <w:start w:w="100" w:type="dxa"/>
              <w:bottom w:w="90" w:type="dxa"/>
              <w:end w:w="100" w:type="dxa"/>
            </w:tcMar>
          </w:tcPr>
          <w:p>
            <w:r>
              <w:rPr>
                <w:sz w:val="18"/>
              </w:rPr>
              <w:t>Operator &amp; Flink versions</w:t>
            </w:r>
          </w:p>
        </w:tc>
        <w:tc>
          <w:tcPr>
            <w:tcW w:type="dxa" w:w="5112"/>
            <w:vAlign w:val="top"/>
            <w:tcMar>
              <w:top w:w="90" w:type="dxa"/>
              <w:start w:w="100" w:type="dxa"/>
              <w:bottom w:w="90" w:type="dxa"/>
              <w:end w:w="100" w:type="dxa"/>
            </w:tcMar>
          </w:tcPr>
          <w:p>
            <w:r>
              <w:rPr>
                <w:sz w:val="18"/>
              </w:rPr>
              <w:t>Which Flink Kubernetes Operator version is required? Which Flink runtime versions must be supported?</w:t>
            </w:r>
          </w:p>
        </w:tc>
        <w:tc>
          <w:tcPr>
            <w:tcW w:type="dxa" w:w="3096"/>
            <w:vAlign w:val="top"/>
            <w:tcMar>
              <w:top w:w="90" w:type="dxa"/>
              <w:start w:w="100" w:type="dxa"/>
              <w:bottom w:w="90" w:type="dxa"/>
              <w:end w:w="100" w:type="dxa"/>
            </w:tcMar>
          </w:tcPr>
          <w:p>
            <w:r>
              <w:rPr>
                <w:sz w:val="18"/>
              </w:rPr>
              <w:t>Approved chart/image versions and compatibility matrix</w:t>
            </w:r>
          </w:p>
        </w:tc>
      </w:tr>
      <w:tr>
        <w:trPr>
          <w:cantSplit/>
        </w:trPr>
        <w:tc>
          <w:tcPr>
            <w:tcW w:type="dxa" w:w="2088"/>
            <w:shd w:fill="F3F6F9"/>
            <w:vAlign w:val="top"/>
            <w:tcMar>
              <w:top w:w="90" w:type="dxa"/>
              <w:start w:w="100" w:type="dxa"/>
              <w:bottom w:w="90" w:type="dxa"/>
              <w:end w:w="100" w:type="dxa"/>
            </w:tcMar>
          </w:tcPr>
          <w:p>
            <w:r>
              <w:rPr>
                <w:sz w:val="18"/>
              </w:rPr>
              <w:t>Operator namespace</w:t>
            </w:r>
          </w:p>
        </w:tc>
        <w:tc>
          <w:tcPr>
            <w:tcW w:type="dxa" w:w="5112"/>
            <w:shd w:fill="F3F6F9"/>
            <w:vAlign w:val="top"/>
            <w:tcMar>
              <w:top w:w="90" w:type="dxa"/>
              <w:start w:w="100" w:type="dxa"/>
              <w:bottom w:w="90" w:type="dxa"/>
              <w:end w:w="100" w:type="dxa"/>
            </w:tcMar>
          </w:tcPr>
          <w:p>
            <w:r>
              <w:rPr>
                <w:sz w:val="18"/>
              </w:rPr>
              <w:t>Which namespace should host the operator?</w:t>
            </w:r>
          </w:p>
        </w:tc>
        <w:tc>
          <w:tcPr>
            <w:tcW w:type="dxa" w:w="3096"/>
            <w:shd w:fill="F3F6F9"/>
            <w:vAlign w:val="top"/>
            <w:tcMar>
              <w:top w:w="90" w:type="dxa"/>
              <w:start w:w="100" w:type="dxa"/>
              <w:bottom w:w="90" w:type="dxa"/>
              <w:end w:w="100" w:type="dxa"/>
            </w:tcMar>
          </w:tcPr>
          <w:p>
            <w:r>
              <w:rPr>
                <w:sz w:val="18"/>
              </w:rPr>
              <w:t>Create/approve operator namespace</w:t>
            </w:r>
          </w:p>
        </w:tc>
      </w:tr>
      <w:tr>
        <w:trPr>
          <w:cantSplit/>
        </w:trPr>
        <w:tc>
          <w:tcPr>
            <w:tcW w:type="dxa" w:w="2088"/>
            <w:vAlign w:val="top"/>
            <w:tcMar>
              <w:top w:w="90" w:type="dxa"/>
              <w:start w:w="100" w:type="dxa"/>
              <w:bottom w:w="90" w:type="dxa"/>
              <w:end w:w="100" w:type="dxa"/>
            </w:tcMar>
          </w:tcPr>
          <w:p>
            <w:r>
              <w:rPr>
                <w:sz w:val="18"/>
              </w:rPr>
              <w:t>Application namespaces</w:t>
            </w:r>
          </w:p>
        </w:tc>
        <w:tc>
          <w:tcPr>
            <w:tcW w:type="dxa" w:w="5112"/>
            <w:vAlign w:val="top"/>
            <w:tcMar>
              <w:top w:w="90" w:type="dxa"/>
              <w:start w:w="100" w:type="dxa"/>
              <w:bottom w:w="90" w:type="dxa"/>
              <w:end w:w="100" w:type="dxa"/>
            </w:tcMar>
          </w:tcPr>
          <w:p>
            <w:r>
              <w:rPr>
                <w:sz w:val="18"/>
              </w:rPr>
              <w:t>Which namespaces will contain FlinkDeployment or FlinkSessionJob resources (DEV/UAT/PROD)?</w:t>
            </w:r>
          </w:p>
        </w:tc>
        <w:tc>
          <w:tcPr>
            <w:tcW w:type="dxa" w:w="3096"/>
            <w:vAlign w:val="top"/>
            <w:tcMar>
              <w:top w:w="90" w:type="dxa"/>
              <w:start w:w="100" w:type="dxa"/>
              <w:bottom w:w="90" w:type="dxa"/>
              <w:end w:w="100" w:type="dxa"/>
            </w:tcMar>
          </w:tcPr>
          <w:p>
            <w:r>
              <w:rPr>
                <w:sz w:val="18"/>
              </w:rPr>
              <w:t>Create namespaces and define isolation</w:t>
            </w:r>
          </w:p>
        </w:tc>
      </w:tr>
      <w:tr>
        <w:trPr>
          <w:cantSplit/>
        </w:trPr>
        <w:tc>
          <w:tcPr>
            <w:tcW w:type="dxa" w:w="2088"/>
            <w:shd w:fill="F3F6F9"/>
            <w:vAlign w:val="top"/>
            <w:tcMar>
              <w:top w:w="90" w:type="dxa"/>
              <w:start w:w="100" w:type="dxa"/>
              <w:bottom w:w="90" w:type="dxa"/>
              <w:end w:w="100" w:type="dxa"/>
            </w:tcMar>
          </w:tcPr>
          <w:p>
            <w:r>
              <w:rPr>
                <w:sz w:val="18"/>
              </w:rPr>
              <w:t>Watch scope</w:t>
            </w:r>
          </w:p>
        </w:tc>
        <w:tc>
          <w:tcPr>
            <w:tcW w:type="dxa" w:w="5112"/>
            <w:shd w:fill="F3F6F9"/>
            <w:vAlign w:val="top"/>
            <w:tcMar>
              <w:top w:w="90" w:type="dxa"/>
              <w:start w:w="100" w:type="dxa"/>
              <w:bottom w:w="90" w:type="dxa"/>
              <w:end w:w="100" w:type="dxa"/>
            </w:tcMar>
          </w:tcPr>
          <w:p>
            <w:r>
              <w:rPr>
                <w:sz w:val="18"/>
              </w:rPr>
              <w:t>Should the operator watch one namespace, a fixed list, or the whole cluster?</w:t>
            </w:r>
          </w:p>
        </w:tc>
        <w:tc>
          <w:tcPr>
            <w:tcW w:type="dxa" w:w="3096"/>
            <w:shd w:fill="F3F6F9"/>
            <w:vAlign w:val="top"/>
            <w:tcMar>
              <w:top w:w="90" w:type="dxa"/>
              <w:start w:w="100" w:type="dxa"/>
              <w:bottom w:w="90" w:type="dxa"/>
              <w:end w:w="100" w:type="dxa"/>
            </w:tcMar>
          </w:tcPr>
          <w:p>
            <w:r>
              <w:rPr>
                <w:sz w:val="18"/>
              </w:rPr>
              <w:t>Choose Role/RoleBinding vs cluster-wide access</w:t>
            </w:r>
          </w:p>
        </w:tc>
      </w:tr>
      <w:tr>
        <w:trPr>
          <w:cantSplit/>
        </w:trPr>
        <w:tc>
          <w:tcPr>
            <w:tcW w:type="dxa" w:w="2088"/>
            <w:vAlign w:val="top"/>
            <w:tcMar>
              <w:top w:w="90" w:type="dxa"/>
              <w:start w:w="100" w:type="dxa"/>
              <w:bottom w:w="90" w:type="dxa"/>
              <w:end w:w="100" w:type="dxa"/>
            </w:tcMar>
          </w:tcPr>
          <w:p>
            <w:r>
              <w:rPr>
                <w:sz w:val="18"/>
              </w:rPr>
              <w:t>SCC / UID</w:t>
            </w:r>
          </w:p>
        </w:tc>
        <w:tc>
          <w:tcPr>
            <w:tcW w:type="dxa" w:w="5112"/>
            <w:vAlign w:val="top"/>
            <w:tcMar>
              <w:top w:w="90" w:type="dxa"/>
              <w:start w:w="100" w:type="dxa"/>
              <w:bottom w:w="90" w:type="dxa"/>
              <w:end w:w="100" w:type="dxa"/>
            </w:tcMar>
          </w:tcPr>
          <w:p>
            <w:r>
              <w:rPr>
                <w:sz w:val="18"/>
              </w:rPr>
              <w:t>Can operator and Flink images run with an arbitrary OpenShift-assigned UID? Do they require a fixed UID such as 9999?</w:t>
            </w:r>
          </w:p>
        </w:tc>
        <w:tc>
          <w:tcPr>
            <w:tcW w:type="dxa" w:w="3096"/>
            <w:vAlign w:val="top"/>
            <w:tcMar>
              <w:top w:w="90" w:type="dxa"/>
              <w:start w:w="100" w:type="dxa"/>
              <w:bottom w:w="90" w:type="dxa"/>
              <w:end w:w="100" w:type="dxa"/>
            </w:tcMar>
          </w:tcPr>
          <w:p>
            <w:r>
              <w:rPr>
                <w:sz w:val="18"/>
              </w:rPr>
              <w:t>Select restricted-v2, nonroot/custom SCC, or documented exception</w:t>
            </w:r>
          </w:p>
        </w:tc>
      </w:tr>
      <w:tr>
        <w:trPr>
          <w:cantSplit/>
        </w:trPr>
        <w:tc>
          <w:tcPr>
            <w:tcW w:type="dxa" w:w="2088"/>
            <w:shd w:fill="F3F6F9"/>
            <w:vAlign w:val="top"/>
            <w:tcMar>
              <w:top w:w="90" w:type="dxa"/>
              <w:start w:w="100" w:type="dxa"/>
              <w:bottom w:w="90" w:type="dxa"/>
              <w:end w:w="100" w:type="dxa"/>
            </w:tcMar>
          </w:tcPr>
          <w:p>
            <w:r>
              <w:rPr>
                <w:sz w:val="18"/>
              </w:rPr>
              <w:t>Service accounts</w:t>
            </w:r>
          </w:p>
        </w:tc>
        <w:tc>
          <w:tcPr>
            <w:tcW w:type="dxa" w:w="5112"/>
            <w:shd w:fill="F3F6F9"/>
            <w:vAlign w:val="top"/>
            <w:tcMar>
              <w:top w:w="90" w:type="dxa"/>
              <w:start w:w="100" w:type="dxa"/>
              <w:bottom w:w="90" w:type="dxa"/>
              <w:end w:w="100" w:type="dxa"/>
            </w:tcMar>
          </w:tcPr>
          <w:p>
            <w:r>
              <w:rPr>
                <w:sz w:val="18"/>
              </w:rPr>
              <w:t>Which service account runs the operator? Which account runs JobManager/TaskManager?</w:t>
            </w:r>
          </w:p>
        </w:tc>
        <w:tc>
          <w:tcPr>
            <w:tcW w:type="dxa" w:w="3096"/>
            <w:shd w:fill="F3F6F9"/>
            <w:vAlign w:val="top"/>
            <w:tcMar>
              <w:top w:w="90" w:type="dxa"/>
              <w:start w:w="100" w:type="dxa"/>
              <w:bottom w:w="90" w:type="dxa"/>
              <w:end w:w="100" w:type="dxa"/>
            </w:tcMar>
          </w:tcPr>
          <w:p>
            <w:r>
              <w:rPr>
                <w:sz w:val="18"/>
              </w:rPr>
              <w:t>Create SAs and bind permissions</w:t>
            </w:r>
          </w:p>
        </w:tc>
      </w:tr>
      <w:tr>
        <w:trPr>
          <w:cantSplit/>
        </w:trPr>
        <w:tc>
          <w:tcPr>
            <w:tcW w:type="dxa" w:w="2088"/>
            <w:vAlign w:val="top"/>
            <w:tcMar>
              <w:top w:w="90" w:type="dxa"/>
              <w:start w:w="100" w:type="dxa"/>
              <w:bottom w:w="90" w:type="dxa"/>
              <w:end w:w="100" w:type="dxa"/>
            </w:tcMar>
          </w:tcPr>
          <w:p>
            <w:r>
              <w:rPr>
                <w:sz w:val="18"/>
              </w:rPr>
              <w:t>RBAC</w:t>
            </w:r>
          </w:p>
        </w:tc>
        <w:tc>
          <w:tcPr>
            <w:tcW w:type="dxa" w:w="5112"/>
            <w:vAlign w:val="top"/>
            <w:tcMar>
              <w:top w:w="90" w:type="dxa"/>
              <w:start w:w="100" w:type="dxa"/>
              <w:bottom w:w="90" w:type="dxa"/>
              <w:end w:w="100" w:type="dxa"/>
            </w:tcMar>
          </w:tcPr>
          <w:p>
            <w:r>
              <w:rPr>
                <w:sz w:val="18"/>
              </w:rPr>
              <w:t>What exact Kubernetes resources must the operator and Flink workloads create/read/update/delete?</w:t>
            </w:r>
          </w:p>
        </w:tc>
        <w:tc>
          <w:tcPr>
            <w:tcW w:type="dxa" w:w="3096"/>
            <w:vAlign w:val="top"/>
            <w:tcMar>
              <w:top w:w="90" w:type="dxa"/>
              <w:start w:w="100" w:type="dxa"/>
              <w:bottom w:w="90" w:type="dxa"/>
              <w:end w:w="100" w:type="dxa"/>
            </w:tcMar>
          </w:tcPr>
          <w:p>
            <w:r>
              <w:rPr>
                <w:sz w:val="18"/>
              </w:rPr>
              <w:t>Create least-privilege Role/ClusterRole bindings</w:t>
            </w:r>
          </w:p>
        </w:tc>
      </w:tr>
      <w:tr>
        <w:trPr>
          <w:cantSplit/>
        </w:trPr>
        <w:tc>
          <w:tcPr>
            <w:tcW w:type="dxa" w:w="2088"/>
            <w:shd w:fill="F3F6F9"/>
            <w:vAlign w:val="top"/>
            <w:tcMar>
              <w:top w:w="90" w:type="dxa"/>
              <w:start w:w="100" w:type="dxa"/>
              <w:bottom w:w="90" w:type="dxa"/>
              <w:end w:w="100" w:type="dxa"/>
            </w:tcMar>
          </w:tcPr>
          <w:p>
            <w:r>
              <w:rPr>
                <w:sz w:val="18"/>
              </w:rPr>
              <w:t>Webhooks</w:t>
            </w:r>
          </w:p>
        </w:tc>
        <w:tc>
          <w:tcPr>
            <w:tcW w:type="dxa" w:w="5112"/>
            <w:shd w:fill="F3F6F9"/>
            <w:vAlign w:val="top"/>
            <w:tcMar>
              <w:top w:w="90" w:type="dxa"/>
              <w:start w:w="100" w:type="dxa"/>
              <w:bottom w:w="90" w:type="dxa"/>
              <w:end w:w="100" w:type="dxa"/>
            </w:tcMar>
          </w:tcPr>
          <w:p>
            <w:r>
              <w:rPr>
                <w:sz w:val="18"/>
              </w:rPr>
              <w:t>Are validating/mutating webhooks required?</w:t>
            </w:r>
          </w:p>
        </w:tc>
        <w:tc>
          <w:tcPr>
            <w:tcW w:type="dxa" w:w="3096"/>
            <w:shd w:fill="F3F6F9"/>
            <w:vAlign w:val="top"/>
            <w:tcMar>
              <w:top w:w="90" w:type="dxa"/>
              <w:start w:w="100" w:type="dxa"/>
              <w:bottom w:w="90" w:type="dxa"/>
              <w:end w:w="100" w:type="dxa"/>
            </w:tcMar>
          </w:tcPr>
          <w:p>
            <w:r>
              <w:rPr>
                <w:sz w:val="18"/>
              </w:rPr>
              <w:t>If yes, support TLS/cert-manager or approved equivalent</w:t>
            </w:r>
          </w:p>
        </w:tc>
      </w:tr>
      <w:tr>
        <w:trPr>
          <w:cantSplit/>
        </w:trPr>
        <w:tc>
          <w:tcPr>
            <w:tcW w:type="dxa" w:w="2088"/>
            <w:vAlign w:val="top"/>
            <w:tcMar>
              <w:top w:w="90" w:type="dxa"/>
              <w:start w:w="100" w:type="dxa"/>
              <w:bottom w:w="90" w:type="dxa"/>
              <w:end w:w="100" w:type="dxa"/>
            </w:tcMar>
          </w:tcPr>
          <w:p>
            <w:r>
              <w:rPr>
                <w:sz w:val="18"/>
              </w:rPr>
              <w:t>Container registry</w:t>
            </w:r>
          </w:p>
        </w:tc>
        <w:tc>
          <w:tcPr>
            <w:tcW w:type="dxa" w:w="5112"/>
            <w:vAlign w:val="top"/>
            <w:tcMar>
              <w:top w:w="90" w:type="dxa"/>
              <w:start w:w="100" w:type="dxa"/>
              <w:bottom w:w="90" w:type="dxa"/>
              <w:end w:w="100" w:type="dxa"/>
            </w:tcMar>
          </w:tcPr>
          <w:p>
            <w:r>
              <w:rPr>
                <w:sz w:val="18"/>
              </w:rPr>
              <w:t>Where are operator and Flink images hosted? Is an internal registry/mirror mandatory?</w:t>
            </w:r>
          </w:p>
        </w:tc>
        <w:tc>
          <w:tcPr>
            <w:tcW w:type="dxa" w:w="3096"/>
            <w:vAlign w:val="top"/>
            <w:tcMar>
              <w:top w:w="90" w:type="dxa"/>
              <w:start w:w="100" w:type="dxa"/>
              <w:bottom w:w="90" w:type="dxa"/>
              <w:end w:w="100" w:type="dxa"/>
            </w:tcMar>
          </w:tcPr>
          <w:p>
            <w:r>
              <w:rPr>
                <w:sz w:val="18"/>
              </w:rPr>
              <w:t>Registry access and imagePullSecrets</w:t>
            </w:r>
          </w:p>
        </w:tc>
      </w:tr>
      <w:tr>
        <w:trPr>
          <w:cantSplit/>
        </w:trPr>
        <w:tc>
          <w:tcPr>
            <w:tcW w:type="dxa" w:w="2088"/>
            <w:shd w:fill="F3F6F9"/>
            <w:vAlign w:val="top"/>
            <w:tcMar>
              <w:top w:w="90" w:type="dxa"/>
              <w:start w:w="100" w:type="dxa"/>
              <w:bottom w:w="90" w:type="dxa"/>
              <w:end w:w="100" w:type="dxa"/>
            </w:tcMar>
          </w:tcPr>
          <w:p>
            <w:r>
              <w:rPr>
                <w:sz w:val="18"/>
              </w:rPr>
              <w:t>Application artifact</w:t>
            </w:r>
          </w:p>
        </w:tc>
        <w:tc>
          <w:tcPr>
            <w:tcW w:type="dxa" w:w="5112"/>
            <w:shd w:fill="F3F6F9"/>
            <w:vAlign w:val="top"/>
            <w:tcMar>
              <w:top w:w="90" w:type="dxa"/>
              <w:start w:w="100" w:type="dxa"/>
              <w:bottom w:w="90" w:type="dxa"/>
              <w:end w:w="100" w:type="dxa"/>
            </w:tcMar>
          </w:tcPr>
          <w:p>
            <w:r>
              <w:rPr>
                <w:sz w:val="18"/>
              </w:rPr>
              <w:t>Is the JAR built into the image or downloaded from object storage/HTTP?</w:t>
            </w:r>
          </w:p>
        </w:tc>
        <w:tc>
          <w:tcPr>
            <w:tcW w:type="dxa" w:w="3096"/>
            <w:shd w:fill="F3F6F9"/>
            <w:vAlign w:val="top"/>
            <w:tcMar>
              <w:top w:w="90" w:type="dxa"/>
              <w:start w:w="100" w:type="dxa"/>
              <w:bottom w:w="90" w:type="dxa"/>
              <w:end w:w="100" w:type="dxa"/>
            </w:tcMar>
          </w:tcPr>
          <w:p>
            <w:r>
              <w:rPr>
                <w:sz w:val="18"/>
              </w:rPr>
              <w:t>Allow required artifact access</w:t>
            </w:r>
          </w:p>
        </w:tc>
      </w:tr>
      <w:tr>
        <w:trPr>
          <w:cantSplit/>
        </w:trPr>
        <w:tc>
          <w:tcPr>
            <w:tcW w:type="dxa" w:w="2088"/>
            <w:vAlign w:val="top"/>
            <w:tcMar>
              <w:top w:w="90" w:type="dxa"/>
              <w:start w:w="100" w:type="dxa"/>
              <w:bottom w:w="90" w:type="dxa"/>
              <w:end w:w="100" w:type="dxa"/>
            </w:tcMar>
          </w:tcPr>
          <w:p>
            <w:r>
              <w:rPr>
                <w:sz w:val="18"/>
              </w:rPr>
              <w:t>State storage</w:t>
            </w:r>
          </w:p>
        </w:tc>
        <w:tc>
          <w:tcPr>
            <w:tcW w:type="dxa" w:w="5112"/>
            <w:vAlign w:val="top"/>
            <w:tcMar>
              <w:top w:w="90" w:type="dxa"/>
              <w:start w:w="100" w:type="dxa"/>
              <w:bottom w:w="90" w:type="dxa"/>
              <w:end w:w="100" w:type="dxa"/>
            </w:tcMar>
          </w:tcPr>
          <w:p>
            <w:r>
              <w:rPr>
                <w:sz w:val="18"/>
              </w:rPr>
              <w:t>Where will checkpoints and savepoints be stored?</w:t>
            </w:r>
          </w:p>
        </w:tc>
        <w:tc>
          <w:tcPr>
            <w:tcW w:type="dxa" w:w="3096"/>
            <w:vAlign w:val="top"/>
            <w:tcMar>
              <w:top w:w="90" w:type="dxa"/>
              <w:start w:w="100" w:type="dxa"/>
              <w:bottom w:w="90" w:type="dxa"/>
              <w:end w:w="100" w:type="dxa"/>
            </w:tcMar>
          </w:tcPr>
          <w:p>
            <w:r>
              <w:rPr>
                <w:sz w:val="18"/>
              </w:rPr>
              <w:t>Storage endpoint, credentials, NetworkPolicy</w:t>
            </w:r>
          </w:p>
        </w:tc>
      </w:tr>
      <w:tr>
        <w:trPr>
          <w:cantSplit/>
        </w:trPr>
        <w:tc>
          <w:tcPr>
            <w:tcW w:type="dxa" w:w="2088"/>
            <w:shd w:fill="F3F6F9"/>
            <w:vAlign w:val="top"/>
            <w:tcMar>
              <w:top w:w="90" w:type="dxa"/>
              <w:start w:w="100" w:type="dxa"/>
              <w:bottom w:w="90" w:type="dxa"/>
              <w:end w:w="100" w:type="dxa"/>
            </w:tcMar>
          </w:tcPr>
          <w:p>
            <w:r>
              <w:rPr>
                <w:sz w:val="18"/>
              </w:rPr>
              <w:t>Kafka / external systems</w:t>
            </w:r>
          </w:p>
        </w:tc>
        <w:tc>
          <w:tcPr>
            <w:tcW w:type="dxa" w:w="5112"/>
            <w:shd w:fill="F3F6F9"/>
            <w:vAlign w:val="top"/>
            <w:tcMar>
              <w:top w:w="90" w:type="dxa"/>
              <w:start w:w="100" w:type="dxa"/>
              <w:bottom w:w="90" w:type="dxa"/>
              <w:end w:w="100" w:type="dxa"/>
            </w:tcMar>
          </w:tcPr>
          <w:p>
            <w:r>
              <w:rPr>
                <w:sz w:val="18"/>
              </w:rPr>
              <w:t>Which Kafka clusters, databases, REST APIs, schema registries, or storage endpoints are required?</w:t>
            </w:r>
          </w:p>
        </w:tc>
        <w:tc>
          <w:tcPr>
            <w:tcW w:type="dxa" w:w="3096"/>
            <w:shd w:fill="F3F6F9"/>
            <w:vAlign w:val="top"/>
            <w:tcMar>
              <w:top w:w="90" w:type="dxa"/>
              <w:start w:w="100" w:type="dxa"/>
              <w:bottom w:w="90" w:type="dxa"/>
              <w:end w:w="100" w:type="dxa"/>
            </w:tcMar>
          </w:tcPr>
          <w:p>
            <w:r>
              <w:rPr>
                <w:sz w:val="18"/>
              </w:rPr>
              <w:t>Egress rules, DNS, firewall, secrets</w:t>
            </w:r>
          </w:p>
        </w:tc>
      </w:tr>
      <w:tr>
        <w:trPr>
          <w:cantSplit/>
        </w:trPr>
        <w:tc>
          <w:tcPr>
            <w:tcW w:type="dxa" w:w="2088"/>
            <w:vAlign w:val="top"/>
            <w:tcMar>
              <w:top w:w="90" w:type="dxa"/>
              <w:start w:w="100" w:type="dxa"/>
              <w:bottom w:w="90" w:type="dxa"/>
              <w:end w:w="100" w:type="dxa"/>
            </w:tcMar>
          </w:tcPr>
          <w:p>
            <w:r>
              <w:rPr>
                <w:sz w:val="18"/>
              </w:rPr>
              <w:t>Resources</w:t>
            </w:r>
          </w:p>
        </w:tc>
        <w:tc>
          <w:tcPr>
            <w:tcW w:type="dxa" w:w="5112"/>
            <w:vAlign w:val="top"/>
            <w:tcMar>
              <w:top w:w="90" w:type="dxa"/>
              <w:start w:w="100" w:type="dxa"/>
              <w:bottom w:w="90" w:type="dxa"/>
              <w:end w:w="100" w:type="dxa"/>
            </w:tcMar>
          </w:tcPr>
          <w:p>
            <w:r>
              <w:rPr>
                <w:sz w:val="18"/>
              </w:rPr>
              <w:t>Expected JobManager/TaskManager CPU, RAM, ephemeral storage, replicas, and parallelism?</w:t>
            </w:r>
          </w:p>
        </w:tc>
        <w:tc>
          <w:tcPr>
            <w:tcW w:type="dxa" w:w="3096"/>
            <w:vAlign w:val="top"/>
            <w:tcMar>
              <w:top w:w="90" w:type="dxa"/>
              <w:start w:w="100" w:type="dxa"/>
              <w:bottom w:w="90" w:type="dxa"/>
              <w:end w:w="100" w:type="dxa"/>
            </w:tcMar>
          </w:tcPr>
          <w:p>
            <w:r>
              <w:rPr>
                <w:sz w:val="18"/>
              </w:rPr>
              <w:t>Capacity, quotas, LimitRanges</w:t>
            </w:r>
          </w:p>
        </w:tc>
      </w:tr>
      <w:tr>
        <w:trPr>
          <w:cantSplit/>
        </w:trPr>
        <w:tc>
          <w:tcPr>
            <w:tcW w:type="dxa" w:w="2088"/>
            <w:shd w:fill="F3F6F9"/>
            <w:vAlign w:val="top"/>
            <w:tcMar>
              <w:top w:w="90" w:type="dxa"/>
              <w:start w:w="100" w:type="dxa"/>
              <w:bottom w:w="90" w:type="dxa"/>
              <w:end w:w="100" w:type="dxa"/>
            </w:tcMar>
          </w:tcPr>
          <w:p>
            <w:r>
              <w:rPr>
                <w:sz w:val="18"/>
              </w:rPr>
              <w:t>Scheduling</w:t>
            </w:r>
          </w:p>
        </w:tc>
        <w:tc>
          <w:tcPr>
            <w:tcW w:type="dxa" w:w="5112"/>
            <w:shd w:fill="F3F6F9"/>
            <w:vAlign w:val="top"/>
            <w:tcMar>
              <w:top w:w="90" w:type="dxa"/>
              <w:start w:w="100" w:type="dxa"/>
              <w:bottom w:w="90" w:type="dxa"/>
              <w:end w:w="100" w:type="dxa"/>
            </w:tcMar>
          </w:tcPr>
          <w:p>
            <w:r>
              <w:rPr>
                <w:sz w:val="18"/>
              </w:rPr>
              <w:t>Any dedicated nodes, selectors, taints/tolerations, affinity, or topology requirements?</w:t>
            </w:r>
          </w:p>
        </w:tc>
        <w:tc>
          <w:tcPr>
            <w:tcW w:type="dxa" w:w="3096"/>
            <w:shd w:fill="F3F6F9"/>
            <w:vAlign w:val="top"/>
            <w:tcMar>
              <w:top w:w="90" w:type="dxa"/>
              <w:start w:w="100" w:type="dxa"/>
              <w:bottom w:w="90" w:type="dxa"/>
              <w:end w:w="100" w:type="dxa"/>
            </w:tcMar>
          </w:tcPr>
          <w:p>
            <w:r>
              <w:rPr>
                <w:sz w:val="18"/>
              </w:rPr>
              <w:t>Node pool/scheduling policy</w:t>
            </w:r>
          </w:p>
        </w:tc>
      </w:tr>
      <w:tr>
        <w:trPr>
          <w:cantSplit/>
        </w:trPr>
        <w:tc>
          <w:tcPr>
            <w:tcW w:type="dxa" w:w="2088"/>
            <w:vAlign w:val="top"/>
            <w:tcMar>
              <w:top w:w="90" w:type="dxa"/>
              <w:start w:w="100" w:type="dxa"/>
              <w:bottom w:w="90" w:type="dxa"/>
              <w:end w:w="100" w:type="dxa"/>
            </w:tcMar>
          </w:tcPr>
          <w:p>
            <w:r>
              <w:rPr>
                <w:sz w:val="18"/>
              </w:rPr>
              <w:t>REST UI</w:t>
            </w:r>
          </w:p>
        </w:tc>
        <w:tc>
          <w:tcPr>
            <w:tcW w:type="dxa" w:w="5112"/>
            <w:vAlign w:val="top"/>
            <w:tcMar>
              <w:top w:w="90" w:type="dxa"/>
              <w:start w:w="100" w:type="dxa"/>
              <w:bottom w:w="90" w:type="dxa"/>
              <w:end w:w="100" w:type="dxa"/>
            </w:tcMar>
          </w:tcPr>
          <w:p>
            <w:r>
              <w:rPr>
                <w:sz w:val="18"/>
              </w:rPr>
              <w:t>Should Flink UI/REST be cluster-internal or externally exposed?</w:t>
            </w:r>
          </w:p>
        </w:tc>
        <w:tc>
          <w:tcPr>
            <w:tcW w:type="dxa" w:w="3096"/>
            <w:vAlign w:val="top"/>
            <w:tcMar>
              <w:top w:w="90" w:type="dxa"/>
              <w:start w:w="100" w:type="dxa"/>
              <w:bottom w:w="90" w:type="dxa"/>
              <w:end w:w="100" w:type="dxa"/>
            </w:tcMar>
          </w:tcPr>
          <w:p>
            <w:r>
              <w:rPr>
                <w:sz w:val="18"/>
              </w:rPr>
              <w:t>Route/Ingress/TLS/authentication decision</w:t>
            </w:r>
          </w:p>
        </w:tc>
      </w:tr>
      <w:tr>
        <w:trPr>
          <w:cantSplit/>
        </w:trPr>
        <w:tc>
          <w:tcPr>
            <w:tcW w:type="dxa" w:w="2088"/>
            <w:shd w:fill="F3F6F9"/>
            <w:vAlign w:val="top"/>
            <w:tcMar>
              <w:top w:w="90" w:type="dxa"/>
              <w:start w:w="100" w:type="dxa"/>
              <w:bottom w:w="90" w:type="dxa"/>
              <w:end w:w="100" w:type="dxa"/>
            </w:tcMar>
          </w:tcPr>
          <w:p>
            <w:r>
              <w:rPr>
                <w:sz w:val="18"/>
              </w:rPr>
              <w:t>HA &amp; recovery</w:t>
            </w:r>
          </w:p>
        </w:tc>
        <w:tc>
          <w:tcPr>
            <w:tcW w:type="dxa" w:w="5112"/>
            <w:shd w:fill="F3F6F9"/>
            <w:vAlign w:val="top"/>
            <w:tcMar>
              <w:top w:w="90" w:type="dxa"/>
              <w:start w:w="100" w:type="dxa"/>
              <w:bottom w:w="90" w:type="dxa"/>
              <w:end w:w="100" w:type="dxa"/>
            </w:tcMar>
          </w:tcPr>
          <w:p>
            <w:r>
              <w:rPr>
                <w:sz w:val="18"/>
              </w:rPr>
              <w:t>Is JobManager HA required? What recovery behavior is expected?</w:t>
            </w:r>
          </w:p>
        </w:tc>
        <w:tc>
          <w:tcPr>
            <w:tcW w:type="dxa" w:w="3096"/>
            <w:shd w:fill="F3F6F9"/>
            <w:vAlign w:val="top"/>
            <w:tcMar>
              <w:top w:w="90" w:type="dxa"/>
              <w:start w:w="100" w:type="dxa"/>
              <w:bottom w:w="90" w:type="dxa"/>
              <w:end w:w="100" w:type="dxa"/>
            </w:tcMar>
          </w:tcPr>
          <w:p>
            <w:r>
              <w:rPr>
                <w:sz w:val="18"/>
              </w:rPr>
              <w:t>HA/storage design</w:t>
            </w:r>
          </w:p>
        </w:tc>
      </w:tr>
      <w:tr>
        <w:trPr>
          <w:cantSplit/>
        </w:trPr>
        <w:tc>
          <w:tcPr>
            <w:tcW w:type="dxa" w:w="2088"/>
            <w:vAlign w:val="top"/>
            <w:tcMar>
              <w:top w:w="90" w:type="dxa"/>
              <w:start w:w="100" w:type="dxa"/>
              <w:bottom w:w="90" w:type="dxa"/>
              <w:end w:w="100" w:type="dxa"/>
            </w:tcMar>
          </w:tcPr>
          <w:p>
            <w:r>
              <w:rPr>
                <w:sz w:val="18"/>
              </w:rPr>
              <w:t>Observability</w:t>
            </w:r>
          </w:p>
        </w:tc>
        <w:tc>
          <w:tcPr>
            <w:tcW w:type="dxa" w:w="5112"/>
            <w:vAlign w:val="top"/>
            <w:tcMar>
              <w:top w:w="90" w:type="dxa"/>
              <w:start w:w="100" w:type="dxa"/>
              <w:bottom w:w="90" w:type="dxa"/>
              <w:end w:w="100" w:type="dxa"/>
            </w:tcMar>
          </w:tcPr>
          <w:p>
            <w:r>
              <w:rPr>
                <w:sz w:val="18"/>
              </w:rPr>
              <w:t>Where should logs and metrics go? Prometheus, Grafana, Splunk, OpenTelemetry, etc.?</w:t>
            </w:r>
          </w:p>
        </w:tc>
        <w:tc>
          <w:tcPr>
            <w:tcW w:type="dxa" w:w="3096"/>
            <w:vAlign w:val="top"/>
            <w:tcMar>
              <w:top w:w="90" w:type="dxa"/>
              <w:start w:w="100" w:type="dxa"/>
              <w:bottom w:w="90" w:type="dxa"/>
              <w:end w:w="100" w:type="dxa"/>
            </w:tcMar>
          </w:tcPr>
          <w:p>
            <w:r>
              <w:rPr>
                <w:sz w:val="18"/>
              </w:rPr>
              <w:t>Monitoring and logging integration</w:t>
            </w:r>
          </w:p>
        </w:tc>
      </w:tr>
      <w:tr>
        <w:trPr>
          <w:cantSplit/>
        </w:trPr>
        <w:tc>
          <w:tcPr>
            <w:tcW w:type="dxa" w:w="2088"/>
            <w:shd w:fill="F3F6F9"/>
            <w:vAlign w:val="top"/>
            <w:tcMar>
              <w:top w:w="90" w:type="dxa"/>
              <w:start w:w="100" w:type="dxa"/>
              <w:bottom w:w="90" w:type="dxa"/>
              <w:end w:w="100" w:type="dxa"/>
            </w:tcMar>
          </w:tcPr>
          <w:p>
            <w:r>
              <w:rPr>
                <w:sz w:val="18"/>
              </w:rPr>
              <w:t>Upgrade ownership</w:t>
            </w:r>
          </w:p>
        </w:tc>
        <w:tc>
          <w:tcPr>
            <w:tcW w:type="dxa" w:w="5112"/>
            <w:shd w:fill="F3F6F9"/>
            <w:vAlign w:val="top"/>
            <w:tcMar>
              <w:top w:w="90" w:type="dxa"/>
              <w:start w:w="100" w:type="dxa"/>
              <w:bottom w:w="90" w:type="dxa"/>
              <w:end w:w="100" w:type="dxa"/>
            </w:tcMar>
          </w:tcPr>
          <w:p>
            <w:r>
              <w:rPr>
                <w:sz w:val="18"/>
              </w:rPr>
              <w:t>Who owns operator, CRD, and Flink runtime upgrades?</w:t>
            </w:r>
          </w:p>
        </w:tc>
        <w:tc>
          <w:tcPr>
            <w:tcW w:type="dxa" w:w="3096"/>
            <w:shd w:fill="F3F6F9"/>
            <w:vAlign w:val="top"/>
            <w:tcMar>
              <w:top w:w="90" w:type="dxa"/>
              <w:start w:w="100" w:type="dxa"/>
              <w:bottom w:w="90" w:type="dxa"/>
              <w:end w:w="100" w:type="dxa"/>
            </w:tcMar>
          </w:tcPr>
          <w:p>
            <w:r>
              <w:rPr>
                <w:sz w:val="18"/>
              </w:rPr>
              <w:t>Change-management responsibility</w:t>
            </w:r>
          </w:p>
        </w:tc>
      </w:tr>
      <w:tr>
        <w:trPr>
          <w:cantSplit/>
        </w:trPr>
        <w:tc>
          <w:tcPr>
            <w:tcW w:type="dxa" w:w="2088"/>
            <w:vAlign w:val="top"/>
            <w:tcMar>
              <w:top w:w="90" w:type="dxa"/>
              <w:start w:w="100" w:type="dxa"/>
              <w:bottom w:w="90" w:type="dxa"/>
              <w:end w:w="100" w:type="dxa"/>
            </w:tcMar>
          </w:tcPr>
          <w:p>
            <w:r>
              <w:rPr>
                <w:sz w:val="18"/>
              </w:rPr>
              <w:t>RTO/RPO</w:t>
            </w:r>
          </w:p>
        </w:tc>
        <w:tc>
          <w:tcPr>
            <w:tcW w:type="dxa" w:w="5112"/>
            <w:vAlign w:val="top"/>
            <w:tcMar>
              <w:top w:w="90" w:type="dxa"/>
              <w:start w:w="100" w:type="dxa"/>
              <w:bottom w:w="90" w:type="dxa"/>
              <w:end w:w="100" w:type="dxa"/>
            </w:tcMar>
          </w:tcPr>
          <w:p>
            <w:r>
              <w:rPr>
                <w:sz w:val="18"/>
              </w:rPr>
              <w:t>What checkpoint/savepoint retention and recovery objectives apply?</w:t>
            </w:r>
          </w:p>
        </w:tc>
        <w:tc>
          <w:tcPr>
            <w:tcW w:type="dxa" w:w="3096"/>
            <w:vAlign w:val="top"/>
            <w:tcMar>
              <w:top w:w="90" w:type="dxa"/>
              <w:start w:w="100" w:type="dxa"/>
              <w:bottom w:w="90" w:type="dxa"/>
              <w:end w:w="100" w:type="dxa"/>
            </w:tcMar>
          </w:tcPr>
          <w:p>
            <w:r>
              <w:rPr>
                <w:sz w:val="18"/>
              </w:rPr>
              <w:t>Backup/retention policy</w:t>
            </w:r>
          </w:p>
        </w:tc>
      </w:tr>
      <w:tr>
        <w:trPr>
          <w:cantSplit/>
        </w:trPr>
        <w:tc>
          <w:tcPr>
            <w:tcW w:type="dxa" w:w="2088"/>
            <w:shd w:fill="F3F6F9"/>
            <w:vAlign w:val="top"/>
            <w:tcMar>
              <w:top w:w="90" w:type="dxa"/>
              <w:start w:w="100" w:type="dxa"/>
              <w:bottom w:w="90" w:type="dxa"/>
              <w:end w:w="100" w:type="dxa"/>
            </w:tcMar>
          </w:tcPr>
          <w:p>
            <w:r>
              <w:rPr>
                <w:sz w:val="18"/>
              </w:rPr>
              <w:t>Environment isolation</w:t>
            </w:r>
          </w:p>
        </w:tc>
        <w:tc>
          <w:tcPr>
            <w:tcW w:type="dxa" w:w="5112"/>
            <w:shd w:fill="F3F6F9"/>
            <w:vAlign w:val="top"/>
            <w:tcMar>
              <w:top w:w="90" w:type="dxa"/>
              <w:start w:w="100" w:type="dxa"/>
              <w:bottom w:w="90" w:type="dxa"/>
              <w:end w:w="100" w:type="dxa"/>
            </w:tcMar>
          </w:tcPr>
          <w:p>
            <w:r>
              <w:rPr>
                <w:sz w:val="18"/>
              </w:rPr>
              <w:t>One operator across environments or separate operator per environment?</w:t>
            </w:r>
          </w:p>
        </w:tc>
        <w:tc>
          <w:tcPr>
            <w:tcW w:type="dxa" w:w="3096"/>
            <w:shd w:fill="F3F6F9"/>
            <w:vAlign w:val="top"/>
            <w:tcMar>
              <w:top w:w="90" w:type="dxa"/>
              <w:start w:w="100" w:type="dxa"/>
              <w:bottom w:w="90" w:type="dxa"/>
              <w:end w:w="100" w:type="dxa"/>
            </w:tcMar>
          </w:tcPr>
          <w:p>
            <w:r>
              <w:rPr>
                <w:sz w:val="18"/>
              </w:rPr>
              <w:t>Blast-radius and governance decision</w:t>
            </w:r>
          </w:p>
        </w:tc>
      </w:tr>
    </w:tbl>
    <w:p>
      <w:pPr>
        <w:pStyle w:val="Heading1"/>
      </w:pPr>
      <w:r>
        <w:t>3. OpenShift SCC / Container Security Questions</w:t>
      </w:r>
    </w:p>
    <w:p>
      <w:pPr>
        <w:jc w:val="center"/>
      </w:pPr>
      <w:r>
        <w:t>The most important security question is:</w:t>
      </w:r>
      <w:r>
        <w:rPr>
          <w:b/>
          <w:color w:val="C0504D"/>
          <w:sz w:val="24"/>
        </w:rPr>
        <w:t>Can the Flink Operator and Flink application images run under OpenShift restricted-v2 with an arbitrary UID, or do they require a fixed UID?</w:t>
      </w:r>
    </w:p>
    <w:p>
      <w:r>
        <w:t>The POC error pattern was similar to:</w:t>
      </w:r>
    </w:p>
    <w:p>
      <w:pPr>
        <w:pStyle w:val="CodeBlock"/>
        <w:keepLines/>
      </w:pPr>
      <w:r>
        <w:rPr>
          <w:rFonts w:ascii="Consolas" w:hAnsi="Consolas"/>
        </w:rPr>
        <w:t>runAsUser: Invalid value: 9999</w:t>
      </w:r>
      <w:r>
        <w:br/>
      </w:r>
      <w:r>
        <w:rPr>
          <w:rFonts w:ascii="Consolas" w:hAnsi="Consolas"/>
        </w:rPr>
        <w:t>must be in the ranges: [1000xxxxxxxx, 1000xxxxxxxx]</w:t>
      </w:r>
    </w:p>
    <w:p>
      <w:r>
        <w:t>For a local POC, the following command can be convenient:</w:t>
      </w:r>
    </w:p>
    <w:p>
      <w:pPr>
        <w:pStyle w:val="CodeBlock"/>
        <w:keepLines/>
      </w:pPr>
      <w:r>
        <w:rPr>
          <w:rFonts w:ascii="Consolas" w:hAnsi="Consolas"/>
        </w:rPr>
        <w:t>oc adm policy add-scc-to-user anyuid \</w:t>
      </w:r>
      <w:r>
        <w:br/>
      </w:r>
      <w:r>
        <w:rPr>
          <w:rFonts w:ascii="Consolas" w:hAnsi="Consolas"/>
        </w:rPr>
        <w:t xml:space="preserve">  -z flink-operator \</w:t>
      </w:r>
      <w:r>
        <w:br/>
      </w:r>
      <w:r>
        <w:rPr>
          <w:rFonts w:ascii="Consolas" w:hAnsi="Consolas"/>
        </w:rPr>
        <w:t xml:space="preserve">  -n flink</w:t>
      </w:r>
    </w:p>
    <w:p>
      <w:r>
        <w:rPr>
          <w:b/>
        </w:rPr>
        <w:t xml:space="preserve">Production guidance: </w:t>
      </w:r>
      <w:r>
        <w:t>do not make anyuid the default. Ask the application team to document why the fixed UID is required, which container needs it, whether the image can be changed for arbitrary UID support, and whether a narrower custom/non-root security model is possible.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1F4E78"/>
            <w:vAlign w:val="center"/>
            <w:tcMar>
              <w:top w:w="90" w:type="dxa"/>
              <w:start w:w="100" w:type="dxa"/>
              <w:bottom w:w="90" w:type="dxa"/>
              <w:end w:w="100" w:type="dxa"/>
            </w:tcMar>
          </w:tcPr>
          <w:p>
            <w:pPr>
              <w:jc w:val="center"/>
            </w:pPr>
            <w:r>
              <w:rPr>
                <w:b/>
                <w:color w:val="FFFFFF"/>
                <w:sz w:val="19"/>
              </w:rPr>
              <w:t>Security option</w:t>
            </w:r>
          </w:p>
        </w:tc>
        <w:tc>
          <w:tcPr>
            <w:tcW w:type="dxa" w:w="4320"/>
            <w:shd w:fill="1F4E78"/>
            <w:vAlign w:val="center"/>
            <w:tcMar>
              <w:top w:w="90" w:type="dxa"/>
              <w:start w:w="100" w:type="dxa"/>
              <w:bottom w:w="90" w:type="dxa"/>
              <w:end w:w="100" w:type="dxa"/>
            </w:tcMar>
          </w:tcPr>
          <w:p>
            <w:pPr>
              <w:jc w:val="center"/>
            </w:pPr>
            <w:r>
              <w:rPr>
                <w:b/>
                <w:color w:val="FFFFFF"/>
                <w:sz w:val="19"/>
              </w:rPr>
              <w:t>Use case</w:t>
            </w:r>
          </w:p>
        </w:tc>
        <w:tc>
          <w:tcPr>
            <w:tcW w:type="dxa" w:w="3816"/>
            <w:shd w:fill="1F4E78"/>
            <w:vAlign w:val="center"/>
            <w:tcMar>
              <w:top w:w="90" w:type="dxa"/>
              <w:start w:w="100" w:type="dxa"/>
              <w:bottom w:w="90" w:type="dxa"/>
              <w:end w:w="100" w:type="dxa"/>
            </w:tcMar>
          </w:tcPr>
          <w:p>
            <w:pPr>
              <w:jc w:val="center"/>
            </w:pPr>
            <w:r>
              <w:rPr>
                <w:b/>
                <w:color w:val="FFFFFF"/>
                <w:sz w:val="19"/>
              </w:rPr>
              <w:t>Infra position</w:t>
            </w:r>
          </w:p>
        </w:tc>
      </w:tr>
      <w:tr>
        <w:trPr>
          <w:cantSplit/>
        </w:trPr>
        <w:tc>
          <w:tcPr>
            <w:tcW w:type="dxa" w:w="2160"/>
            <w:vAlign w:val="top"/>
            <w:tcMar>
              <w:top w:w="90" w:type="dxa"/>
              <w:start w:w="100" w:type="dxa"/>
              <w:bottom w:w="90" w:type="dxa"/>
              <w:end w:w="100" w:type="dxa"/>
            </w:tcMar>
          </w:tcPr>
          <w:p>
            <w:r>
              <w:rPr>
                <w:sz w:val="18"/>
              </w:rPr>
              <w:t>restricted-v2</w:t>
            </w:r>
          </w:p>
        </w:tc>
        <w:tc>
          <w:tcPr>
            <w:tcW w:type="dxa" w:w="4320"/>
            <w:vAlign w:val="top"/>
            <w:tcMar>
              <w:top w:w="90" w:type="dxa"/>
              <w:start w:w="100" w:type="dxa"/>
              <w:bottom w:w="90" w:type="dxa"/>
              <w:end w:w="100" w:type="dxa"/>
            </w:tcMar>
          </w:tcPr>
          <w:p>
            <w:r>
              <w:rPr>
                <w:sz w:val="18"/>
              </w:rPr>
              <w:t>Image supports namespace-assigned arbitrary UID</w:t>
            </w:r>
          </w:p>
        </w:tc>
        <w:tc>
          <w:tcPr>
            <w:tcW w:type="dxa" w:w="3816"/>
            <w:vAlign w:val="top"/>
            <w:tcMar>
              <w:top w:w="90" w:type="dxa"/>
              <w:start w:w="100" w:type="dxa"/>
              <w:bottom w:w="90" w:type="dxa"/>
              <w:end w:w="100" w:type="dxa"/>
            </w:tcMar>
          </w:tcPr>
          <w:p>
            <w:r>
              <w:rPr>
                <w:sz w:val="18"/>
              </w:rPr>
              <w:t>Preferred default</w:t>
            </w:r>
          </w:p>
        </w:tc>
      </w:tr>
      <w:tr>
        <w:trPr>
          <w:cantSplit/>
        </w:trPr>
        <w:tc>
          <w:tcPr>
            <w:tcW w:type="dxa" w:w="2160"/>
            <w:shd w:fill="F3F6F9"/>
            <w:vAlign w:val="top"/>
            <w:tcMar>
              <w:top w:w="90" w:type="dxa"/>
              <w:start w:w="100" w:type="dxa"/>
              <w:bottom w:w="90" w:type="dxa"/>
              <w:end w:w="100" w:type="dxa"/>
            </w:tcMar>
          </w:tcPr>
          <w:p>
            <w:r>
              <w:rPr>
                <w:sz w:val="18"/>
              </w:rPr>
              <w:t>nonroot/custom SCC</w:t>
            </w:r>
          </w:p>
        </w:tc>
        <w:tc>
          <w:tcPr>
            <w:tcW w:type="dxa" w:w="4320"/>
            <w:shd w:fill="F3F6F9"/>
            <w:vAlign w:val="top"/>
            <w:tcMar>
              <w:top w:w="90" w:type="dxa"/>
              <w:start w:w="100" w:type="dxa"/>
              <w:bottom w:w="90" w:type="dxa"/>
              <w:end w:w="100" w:type="dxa"/>
            </w:tcMar>
          </w:tcPr>
          <w:p>
            <w:r>
              <w:rPr>
                <w:sz w:val="18"/>
              </w:rPr>
              <w:t>Workload needs additional non-root flexibility</w:t>
            </w:r>
          </w:p>
        </w:tc>
        <w:tc>
          <w:tcPr>
            <w:tcW w:type="dxa" w:w="3816"/>
            <w:shd w:fill="F3F6F9"/>
            <w:vAlign w:val="top"/>
            <w:tcMar>
              <w:top w:w="90" w:type="dxa"/>
              <w:start w:w="100" w:type="dxa"/>
              <w:bottom w:w="90" w:type="dxa"/>
              <w:end w:w="100" w:type="dxa"/>
            </w:tcMar>
          </w:tcPr>
          <w:p>
            <w:r>
              <w:rPr>
                <w:sz w:val="18"/>
              </w:rPr>
              <w:t>Evaluate and scope narrowly</w:t>
            </w:r>
          </w:p>
        </w:tc>
      </w:tr>
      <w:tr>
        <w:trPr>
          <w:cantSplit/>
        </w:trPr>
        <w:tc>
          <w:tcPr>
            <w:tcW w:type="dxa" w:w="2160"/>
            <w:vAlign w:val="top"/>
            <w:tcMar>
              <w:top w:w="90" w:type="dxa"/>
              <w:start w:w="100" w:type="dxa"/>
              <w:bottom w:w="90" w:type="dxa"/>
              <w:end w:w="100" w:type="dxa"/>
            </w:tcMar>
          </w:tcPr>
          <w:p>
            <w:r>
              <w:rPr>
                <w:sz w:val="18"/>
              </w:rPr>
              <w:t>anyuid</w:t>
            </w:r>
          </w:p>
        </w:tc>
        <w:tc>
          <w:tcPr>
            <w:tcW w:type="dxa" w:w="4320"/>
            <w:vAlign w:val="top"/>
            <w:tcMar>
              <w:top w:w="90" w:type="dxa"/>
              <w:start w:w="100" w:type="dxa"/>
              <w:bottom w:w="90" w:type="dxa"/>
              <w:end w:w="100" w:type="dxa"/>
            </w:tcMar>
          </w:tcPr>
          <w:p>
            <w:r>
              <w:rPr>
                <w:sz w:val="18"/>
              </w:rPr>
              <w:t>Image requires a fixed UID or root-capable policy</w:t>
            </w:r>
          </w:p>
        </w:tc>
        <w:tc>
          <w:tcPr>
            <w:tcW w:type="dxa" w:w="3816"/>
            <w:vAlign w:val="top"/>
            <w:tcMar>
              <w:top w:w="90" w:type="dxa"/>
              <w:start w:w="100" w:type="dxa"/>
              <w:bottom w:w="90" w:type="dxa"/>
              <w:end w:w="100" w:type="dxa"/>
            </w:tcMar>
          </w:tcPr>
          <w:p>
            <w:r>
              <w:rPr>
                <w:sz w:val="18"/>
              </w:rPr>
              <w:t>Exception only; bind to a dedicated service account</w:t>
            </w:r>
          </w:p>
        </w:tc>
      </w:tr>
    </w:tbl>
    <w:p>
      <w:pPr>
        <w:pStyle w:val="Heading1"/>
      </w:pPr>
      <w:r>
        <w:t>4. Permissions and RBAC Infra May Need to Provide</w:t>
      </w:r>
    </w:p>
    <w:p>
      <w:pPr>
        <w:pStyle w:val="Heading2"/>
      </w:pPr>
      <w:r>
        <w:t>4.1 Installation-time cluster permissions</w:t>
      </w:r>
    </w:p>
    <w:p>
      <w:pPr>
        <w:pStyle w:val="ListBullet"/>
        <w:spacing w:after="60"/>
      </w:pPr>
      <w:r>
        <w:t>Ability to install/update the operator Helm release.</w:t>
      </w:r>
    </w:p>
    <w:p>
      <w:pPr>
        <w:pStyle w:val="ListBullet"/>
        <w:spacing w:after="60"/>
      </w:pPr>
      <w:r>
        <w:t>Ability to create/update Flink CRDs when the chart/version requires it.</w:t>
      </w:r>
    </w:p>
    <w:p>
      <w:pPr>
        <w:pStyle w:val="ListBullet"/>
        <w:spacing w:after="60"/>
      </w:pPr>
      <w:r>
        <w:t>Ability to create cluster-scoped RBAC or webhook resources if the selected deployment model uses them.</w:t>
      </w:r>
    </w:p>
    <w:p>
      <w:pPr>
        <w:pStyle w:val="ListBullet"/>
        <w:spacing w:after="60"/>
      </w:pPr>
      <w:r>
        <w:t>Ability to grant SCC use only when an approved exception is required.</w:t>
      </w:r>
    </w:p>
    <w:p>
      <w:pPr>
        <w:pStyle w:val="Heading2"/>
      </w:pPr>
      <w:r>
        <w:t>4.2 Operator runtime permissions</w:t>
      </w:r>
    </w:p>
    <w:p>
      <w:r>
        <w:t>Choose permissions based on the operator watch scope. If the operator only manages a fixed set of application namespaces, prefer namespace-specific Role/RoleBinding permissions instead of unrestricted cluster-wide access.</w:t>
      </w:r>
    </w:p>
    <w:p>
      <w:pPr>
        <w:pStyle w:val="CodeBlock"/>
        <w:keepLines/>
      </w:pPr>
      <w:r>
        <w:rPr>
          <w:rFonts w:ascii="Consolas" w:hAnsi="Consolas"/>
        </w:rPr>
        <w:t># Conceptual example</w:t>
      </w:r>
      <w:r>
        <w:br/>
      </w:r>
      <w:r>
        <w:rPr>
          <w:rFonts w:ascii="Consolas" w:hAnsi="Consolas"/>
        </w:rPr>
        <w:t>watchNamespaces:</w:t>
      </w:r>
      <w:r>
        <w:br/>
      </w:r>
      <w:r>
        <w:rPr>
          <w:rFonts w:ascii="Consolas" w:hAnsi="Consolas"/>
        </w:rPr>
        <w:t xml:space="preserve">  - payments-flink-dev</w:t>
      </w:r>
      <w:r>
        <w:br/>
      </w:r>
      <w:r>
        <w:rPr>
          <w:rFonts w:ascii="Consolas" w:hAnsi="Consolas"/>
        </w:rPr>
        <w:t xml:space="preserve">  - payments-flink-uat</w:t>
      </w:r>
    </w:p>
    <w:p>
      <w:pPr>
        <w:pStyle w:val="Heading2"/>
      </w:pPr>
      <w:r>
        <w:t>4.3 Application runtime permissions</w:t>
      </w:r>
    </w:p>
    <w:p>
      <w:r>
        <w:t>JobManager and TaskManager typically use a separate application service account. Do not assume the operator service account and application service account should share the same permissions.</w:t>
      </w:r>
    </w:p>
    <w:p>
      <w:pPr>
        <w:pStyle w:val="ListBullet"/>
        <w:spacing w:after="60"/>
      </w:pPr>
      <w:r>
        <w:t>Pods and workload resources required by the selected Flink deployment mode.</w:t>
      </w:r>
    </w:p>
    <w:p>
      <w:pPr>
        <w:pStyle w:val="ListBullet"/>
        <w:spacing w:after="60"/>
      </w:pPr>
      <w:r>
        <w:t>Services/ConfigMaps/Secrets required for runtime configuration and REST/RPC connectivity.</w:t>
      </w:r>
    </w:p>
    <w:p>
      <w:pPr>
        <w:pStyle w:val="ListBullet"/>
        <w:spacing w:after="60"/>
      </w:pPr>
      <w:r>
        <w:t>Access to checkpoint/savepoint storage credentials where applicable.</w:t>
      </w:r>
    </w:p>
    <w:p>
      <w:pPr>
        <w:pStyle w:val="ListBullet"/>
        <w:spacing w:after="60"/>
      </w:pPr>
      <w:r>
        <w:t>Network access to Kafka, object storage, databases, schema registry, or APIs.</w:t>
      </w:r>
    </w:p>
    <w:p>
      <w:pPr>
        <w:pStyle w:val="Heading1"/>
      </w:pPr>
      <w:r>
        <w:t>5. Webhooks and cert-manager Decision</w:t>
      </w:r>
    </w:p>
    <w:p>
      <w:r>
        <w:t>Ask the developer team explicitly whether Flink admission webhooks are required. Webhooks add admission-time validation/mutation but also introduce a TLS certificate lifecycle dependency.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shd w:fill="1F4E78"/>
            <w:vAlign w:val="center"/>
            <w:tcMar>
              <w:top w:w="90" w:type="dxa"/>
              <w:start w:w="100" w:type="dxa"/>
              <w:bottom w:w="90" w:type="dxa"/>
              <w:end w:w="100" w:type="dxa"/>
            </w:tcMar>
          </w:tcPr>
          <w:p>
            <w:pPr>
              <w:jc w:val="center"/>
            </w:pPr>
            <w:r>
              <w:rPr>
                <w:b/>
                <w:color w:val="FFFFFF"/>
                <w:sz w:val="19"/>
              </w:rPr>
              <w:t>Decision</w:t>
            </w:r>
          </w:p>
        </w:tc>
        <w:tc>
          <w:tcPr>
            <w:tcW w:type="dxa" w:w="7200"/>
            <w:shd w:fill="1F4E78"/>
            <w:vAlign w:val="center"/>
            <w:tcMar>
              <w:top w:w="90" w:type="dxa"/>
              <w:start w:w="100" w:type="dxa"/>
              <w:bottom w:w="90" w:type="dxa"/>
              <w:end w:w="100" w:type="dxa"/>
            </w:tcMar>
          </w:tcPr>
          <w:p>
            <w:pPr>
              <w:jc w:val="center"/>
            </w:pPr>
            <w:r>
              <w:rPr>
                <w:b/>
                <w:color w:val="FFFFFF"/>
                <w:sz w:val="19"/>
              </w:rPr>
              <w:t>Infra implication</w:t>
            </w:r>
          </w:p>
        </w:tc>
      </w:tr>
      <w:tr>
        <w:trPr>
          <w:cantSplit/>
        </w:trPr>
        <w:tc>
          <w:tcPr>
            <w:tcW w:type="dxa" w:w="3024"/>
            <w:vAlign w:val="top"/>
            <w:tcMar>
              <w:top w:w="90" w:type="dxa"/>
              <w:start w:w="100" w:type="dxa"/>
              <w:bottom w:w="90" w:type="dxa"/>
              <w:end w:w="100" w:type="dxa"/>
            </w:tcMar>
          </w:tcPr>
          <w:p>
            <w:r>
              <w:rPr>
                <w:sz w:val="18"/>
              </w:rPr>
              <w:t>Webhooks enabled</w:t>
            </w:r>
          </w:p>
        </w:tc>
        <w:tc>
          <w:tcPr>
            <w:tcW w:type="dxa" w:w="7200"/>
            <w:vAlign w:val="top"/>
            <w:tcMar>
              <w:top w:w="90" w:type="dxa"/>
              <w:start w:w="100" w:type="dxa"/>
              <w:bottom w:w="90" w:type="dxa"/>
              <w:end w:w="100" w:type="dxa"/>
            </w:tcMar>
          </w:tcPr>
          <w:p>
            <w:r>
              <w:rPr>
                <w:sz w:val="18"/>
              </w:rPr>
              <w:t>Provide/approve cert-manager or another supported certificate-management solution; manage webhook TLS and trust.</w:t>
            </w:r>
          </w:p>
        </w:tc>
      </w:tr>
      <w:tr>
        <w:trPr>
          <w:cantSplit/>
        </w:trPr>
        <w:tc>
          <w:tcPr>
            <w:tcW w:type="dxa" w:w="3024"/>
            <w:shd w:fill="F3F6F9"/>
            <w:vAlign w:val="top"/>
            <w:tcMar>
              <w:top w:w="90" w:type="dxa"/>
              <w:start w:w="100" w:type="dxa"/>
              <w:bottom w:w="90" w:type="dxa"/>
              <w:end w:w="100" w:type="dxa"/>
            </w:tcMar>
          </w:tcPr>
          <w:p>
            <w:r>
              <w:rPr>
                <w:sz w:val="18"/>
              </w:rPr>
              <w:t>Webhooks disabled</w:t>
            </w:r>
          </w:p>
        </w:tc>
        <w:tc>
          <w:tcPr>
            <w:tcW w:type="dxa" w:w="7200"/>
            <w:shd w:fill="F3F6F9"/>
            <w:vAlign w:val="top"/>
            <w:tcMar>
              <w:top w:w="90" w:type="dxa"/>
              <w:start w:w="100" w:type="dxa"/>
              <w:bottom w:w="90" w:type="dxa"/>
              <w:end w:w="100" w:type="dxa"/>
            </w:tcMar>
          </w:tcPr>
          <w:p>
            <w:r>
              <w:rPr>
                <w:sz w:val="18"/>
              </w:rPr>
              <w:t>Simpler installation; no webhook certificate dependency, but admission-time webhook functions are not available.</w:t>
            </w:r>
          </w:p>
        </w:tc>
      </w:tr>
    </w:tbl>
    <w:p>
      <w:pPr>
        <w:pStyle w:val="CodeBlock"/>
        <w:keepLines/>
      </w:pPr>
      <w:r>
        <w:rPr>
          <w:rFonts w:ascii="Consolas" w:hAnsi="Consolas"/>
        </w:rPr>
        <w:t># POC-style example</w:t>
      </w:r>
      <w:r>
        <w:br/>
      </w:r>
      <w:r>
        <w:rPr>
          <w:rFonts w:ascii="Consolas" w:hAnsi="Consolas"/>
        </w:rPr>
        <w:t>webhook:</w:t>
      </w:r>
      <w:r>
        <w:br/>
      </w:r>
      <w:r>
        <w:rPr>
          <w:rFonts w:ascii="Consolas" w:hAnsi="Consolas"/>
        </w:rPr>
        <w:t xml:space="preserve">  create: false</w:t>
      </w:r>
    </w:p>
    <w:p>
      <w:pPr>
        <w:pStyle w:val="Heading1"/>
      </w:pPr>
      <w:r>
        <w:t>6. Platform Dependencies to Confirm</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1F4E78"/>
            <w:vAlign w:val="center"/>
            <w:tcMar>
              <w:top w:w="90" w:type="dxa"/>
              <w:start w:w="100" w:type="dxa"/>
              <w:bottom w:w="90" w:type="dxa"/>
              <w:end w:w="100" w:type="dxa"/>
            </w:tcMar>
          </w:tcPr>
          <w:p>
            <w:pPr>
              <w:jc w:val="center"/>
            </w:pPr>
            <w:r>
              <w:rPr>
                <w:b/>
                <w:color w:val="FFFFFF"/>
                <w:sz w:val="19"/>
              </w:rPr>
              <w:t>Dependency</w:t>
            </w:r>
          </w:p>
        </w:tc>
        <w:tc>
          <w:tcPr>
            <w:tcW w:type="dxa" w:w="7920"/>
            <w:shd w:fill="1F4E78"/>
            <w:vAlign w:val="center"/>
            <w:tcMar>
              <w:top w:w="90" w:type="dxa"/>
              <w:start w:w="100" w:type="dxa"/>
              <w:bottom w:w="90" w:type="dxa"/>
              <w:end w:w="100" w:type="dxa"/>
            </w:tcMar>
          </w:tcPr>
          <w:p>
            <w:pPr>
              <w:jc w:val="center"/>
            </w:pPr>
            <w:r>
              <w:rPr>
                <w:b/>
                <w:color w:val="FFFFFF"/>
                <w:sz w:val="19"/>
              </w:rPr>
              <w:t>Information required</w:t>
            </w:r>
          </w:p>
        </w:tc>
      </w:tr>
      <w:tr>
        <w:trPr>
          <w:cantSplit/>
        </w:trPr>
        <w:tc>
          <w:tcPr>
            <w:tcW w:type="dxa" w:w="2304"/>
            <w:vAlign w:val="top"/>
            <w:tcMar>
              <w:top w:w="90" w:type="dxa"/>
              <w:start w:w="100" w:type="dxa"/>
              <w:bottom w:w="90" w:type="dxa"/>
              <w:end w:w="100" w:type="dxa"/>
            </w:tcMar>
          </w:tcPr>
          <w:p>
            <w:r>
              <w:rPr>
                <w:sz w:val="18"/>
              </w:rPr>
              <w:t>Image registry</w:t>
            </w:r>
          </w:p>
        </w:tc>
        <w:tc>
          <w:tcPr>
            <w:tcW w:type="dxa" w:w="7920"/>
            <w:vAlign w:val="top"/>
            <w:tcMar>
              <w:top w:w="90" w:type="dxa"/>
              <w:start w:w="100" w:type="dxa"/>
              <w:bottom w:w="90" w:type="dxa"/>
              <w:end w:w="100" w:type="dxa"/>
            </w:tcMar>
          </w:tcPr>
          <w:p>
            <w:r>
              <w:rPr>
                <w:sz w:val="18"/>
              </w:rPr>
              <w:t>Operator image, Flink runtime image, application image, pull credentials, approved registry/mirror</w:t>
            </w:r>
          </w:p>
        </w:tc>
      </w:tr>
      <w:tr>
        <w:trPr>
          <w:cantSplit/>
        </w:trPr>
        <w:tc>
          <w:tcPr>
            <w:tcW w:type="dxa" w:w="2304"/>
            <w:shd w:fill="F3F6F9"/>
            <w:vAlign w:val="top"/>
            <w:tcMar>
              <w:top w:w="90" w:type="dxa"/>
              <w:start w:w="100" w:type="dxa"/>
              <w:bottom w:w="90" w:type="dxa"/>
              <w:end w:w="100" w:type="dxa"/>
            </w:tcMar>
          </w:tcPr>
          <w:p>
            <w:r>
              <w:rPr>
                <w:sz w:val="18"/>
              </w:rPr>
              <w:t>Network</w:t>
            </w:r>
          </w:p>
        </w:tc>
        <w:tc>
          <w:tcPr>
            <w:tcW w:type="dxa" w:w="7920"/>
            <w:shd w:fill="F3F6F9"/>
            <w:vAlign w:val="top"/>
            <w:tcMar>
              <w:top w:w="90" w:type="dxa"/>
              <w:start w:w="100" w:type="dxa"/>
              <w:bottom w:w="90" w:type="dxa"/>
              <w:end w:w="100" w:type="dxa"/>
            </w:tcMar>
          </w:tcPr>
          <w:p>
            <w:r>
              <w:rPr>
                <w:sz w:val="18"/>
              </w:rPr>
              <w:t>Kafka, databases, schema registry, S3/ADLS/object storage, DNS, proxy, egress</w:t>
            </w:r>
          </w:p>
        </w:tc>
      </w:tr>
      <w:tr>
        <w:trPr>
          <w:cantSplit/>
        </w:trPr>
        <w:tc>
          <w:tcPr>
            <w:tcW w:type="dxa" w:w="2304"/>
            <w:vAlign w:val="top"/>
            <w:tcMar>
              <w:top w:w="90" w:type="dxa"/>
              <w:start w:w="100" w:type="dxa"/>
              <w:bottom w:w="90" w:type="dxa"/>
              <w:end w:w="100" w:type="dxa"/>
            </w:tcMar>
          </w:tcPr>
          <w:p>
            <w:r>
              <w:rPr>
                <w:sz w:val="18"/>
              </w:rPr>
              <w:t>Secrets</w:t>
            </w:r>
          </w:p>
        </w:tc>
        <w:tc>
          <w:tcPr>
            <w:tcW w:type="dxa" w:w="7920"/>
            <w:vAlign w:val="top"/>
            <w:tcMar>
              <w:top w:w="90" w:type="dxa"/>
              <w:start w:w="100" w:type="dxa"/>
              <w:bottom w:w="90" w:type="dxa"/>
              <w:end w:w="100" w:type="dxa"/>
            </w:tcMar>
          </w:tcPr>
          <w:p>
            <w:r>
              <w:rPr>
                <w:sz w:val="18"/>
              </w:rPr>
              <w:t>Kafka TLS/SASL, object-store credentials, database credentials, imagePullSecrets</w:t>
            </w:r>
          </w:p>
        </w:tc>
      </w:tr>
      <w:tr>
        <w:trPr>
          <w:cantSplit/>
        </w:trPr>
        <w:tc>
          <w:tcPr>
            <w:tcW w:type="dxa" w:w="2304"/>
            <w:shd w:fill="F3F6F9"/>
            <w:vAlign w:val="top"/>
            <w:tcMar>
              <w:top w:w="90" w:type="dxa"/>
              <w:start w:w="100" w:type="dxa"/>
              <w:bottom w:w="90" w:type="dxa"/>
              <w:end w:w="100" w:type="dxa"/>
            </w:tcMar>
          </w:tcPr>
          <w:p>
            <w:r>
              <w:rPr>
                <w:sz w:val="18"/>
              </w:rPr>
              <w:t>Storage</w:t>
            </w:r>
          </w:p>
        </w:tc>
        <w:tc>
          <w:tcPr>
            <w:tcW w:type="dxa" w:w="7920"/>
            <w:shd w:fill="F3F6F9"/>
            <w:vAlign w:val="top"/>
            <w:tcMar>
              <w:top w:w="90" w:type="dxa"/>
              <w:start w:w="100" w:type="dxa"/>
              <w:bottom w:w="90" w:type="dxa"/>
              <w:end w:w="100" w:type="dxa"/>
            </w:tcMar>
          </w:tcPr>
          <w:p>
            <w:r>
              <w:rPr>
                <w:sz w:val="18"/>
              </w:rPr>
              <w:t>Checkpoint/savepoint location; PVC/object storage; retention and encryption</w:t>
            </w:r>
          </w:p>
        </w:tc>
      </w:tr>
      <w:tr>
        <w:trPr>
          <w:cantSplit/>
        </w:trPr>
        <w:tc>
          <w:tcPr>
            <w:tcW w:type="dxa" w:w="2304"/>
            <w:vAlign w:val="top"/>
            <w:tcMar>
              <w:top w:w="90" w:type="dxa"/>
              <w:start w:w="100" w:type="dxa"/>
              <w:bottom w:w="90" w:type="dxa"/>
              <w:end w:w="100" w:type="dxa"/>
            </w:tcMar>
          </w:tcPr>
          <w:p>
            <w:r>
              <w:rPr>
                <w:sz w:val="18"/>
              </w:rPr>
              <w:t>Observability</w:t>
            </w:r>
          </w:p>
        </w:tc>
        <w:tc>
          <w:tcPr>
            <w:tcW w:type="dxa" w:w="7920"/>
            <w:vAlign w:val="top"/>
            <w:tcMar>
              <w:top w:w="90" w:type="dxa"/>
              <w:start w:w="100" w:type="dxa"/>
              <w:bottom w:w="90" w:type="dxa"/>
              <w:end w:w="100" w:type="dxa"/>
            </w:tcMar>
          </w:tcPr>
          <w:p>
            <w:r>
              <w:rPr>
                <w:sz w:val="18"/>
              </w:rPr>
              <w:t>Metrics endpoint, ServiceMonitor/Prometheus, logs, traces, alerts</w:t>
            </w:r>
          </w:p>
        </w:tc>
      </w:tr>
      <w:tr>
        <w:trPr>
          <w:cantSplit/>
        </w:trPr>
        <w:tc>
          <w:tcPr>
            <w:tcW w:type="dxa" w:w="2304"/>
            <w:shd w:fill="F3F6F9"/>
            <w:vAlign w:val="top"/>
            <w:tcMar>
              <w:top w:w="90" w:type="dxa"/>
              <w:start w:w="100" w:type="dxa"/>
              <w:bottom w:w="90" w:type="dxa"/>
              <w:end w:w="100" w:type="dxa"/>
            </w:tcMar>
          </w:tcPr>
          <w:p>
            <w:r>
              <w:rPr>
                <w:sz w:val="18"/>
              </w:rPr>
              <w:t>Routes / Ingress</w:t>
            </w:r>
          </w:p>
        </w:tc>
        <w:tc>
          <w:tcPr>
            <w:tcW w:type="dxa" w:w="7920"/>
            <w:shd w:fill="F3F6F9"/>
            <w:vAlign w:val="top"/>
            <w:tcMar>
              <w:top w:w="90" w:type="dxa"/>
              <w:start w:w="100" w:type="dxa"/>
              <w:bottom w:w="90" w:type="dxa"/>
              <w:end w:w="100" w:type="dxa"/>
            </w:tcMar>
          </w:tcPr>
          <w:p>
            <w:r>
              <w:rPr>
                <w:sz w:val="18"/>
              </w:rPr>
              <w:t>Whether Flink REST UI must be external; TLS/authentication requirements</w:t>
            </w:r>
          </w:p>
        </w:tc>
      </w:tr>
      <w:tr>
        <w:trPr>
          <w:cantSplit/>
        </w:trPr>
        <w:tc>
          <w:tcPr>
            <w:tcW w:type="dxa" w:w="2304"/>
            <w:vAlign w:val="top"/>
            <w:tcMar>
              <w:top w:w="90" w:type="dxa"/>
              <w:start w:w="100" w:type="dxa"/>
              <w:bottom w:w="90" w:type="dxa"/>
              <w:end w:w="100" w:type="dxa"/>
            </w:tcMar>
          </w:tcPr>
          <w:p>
            <w:r>
              <w:rPr>
                <w:sz w:val="18"/>
              </w:rPr>
              <w:t>Capacity</w:t>
            </w:r>
          </w:p>
        </w:tc>
        <w:tc>
          <w:tcPr>
            <w:tcW w:type="dxa" w:w="7920"/>
            <w:vAlign w:val="top"/>
            <w:tcMar>
              <w:top w:w="90" w:type="dxa"/>
              <w:start w:w="100" w:type="dxa"/>
              <w:bottom w:w="90" w:type="dxa"/>
              <w:end w:w="100" w:type="dxa"/>
            </w:tcMar>
          </w:tcPr>
          <w:p>
            <w:r>
              <w:rPr>
                <w:sz w:val="18"/>
              </w:rPr>
              <w:t>CPU, memory, ephemeral disk, TaskManager counts, parallelism, autoscaling expectations</w:t>
            </w:r>
          </w:p>
        </w:tc>
      </w:tr>
      <w:tr>
        <w:trPr>
          <w:cantSplit/>
        </w:trPr>
        <w:tc>
          <w:tcPr>
            <w:tcW w:type="dxa" w:w="2304"/>
            <w:shd w:fill="F3F6F9"/>
            <w:vAlign w:val="top"/>
            <w:tcMar>
              <w:top w:w="90" w:type="dxa"/>
              <w:start w:w="100" w:type="dxa"/>
              <w:bottom w:w="90" w:type="dxa"/>
              <w:end w:w="100" w:type="dxa"/>
            </w:tcMar>
          </w:tcPr>
          <w:p>
            <w:r>
              <w:rPr>
                <w:sz w:val="18"/>
              </w:rPr>
              <w:t>Scheduling</w:t>
            </w:r>
          </w:p>
        </w:tc>
        <w:tc>
          <w:tcPr>
            <w:tcW w:type="dxa" w:w="7920"/>
            <w:shd w:fill="F3F6F9"/>
            <w:vAlign w:val="top"/>
            <w:tcMar>
              <w:top w:w="90" w:type="dxa"/>
              <w:start w:w="100" w:type="dxa"/>
              <w:bottom w:w="90" w:type="dxa"/>
              <w:end w:w="100" w:type="dxa"/>
            </w:tcMar>
          </w:tcPr>
          <w:p>
            <w:r>
              <w:rPr>
                <w:sz w:val="18"/>
              </w:rPr>
              <w:t>Dedicated nodes, taints/tolerations, affinity, topology spread, resource classes</w:t>
            </w:r>
          </w:p>
        </w:tc>
      </w:tr>
    </w:tbl>
    <w:p>
      <w:pPr>
        <w:pStyle w:val="Heading1"/>
      </w:pPr>
      <w:r>
        <w:t>7. Mandatory Approval Gates Before Installation</w:t>
      </w:r>
    </w:p>
    <w:p>
      <w:pPr>
        <w:spacing w:after="60"/>
        <w:ind w:left="0" w:firstLine="0"/>
      </w:pPr>
      <w:r>
        <w:rPr>
          <w:b w:val="0"/>
        </w:rPr>
        <w:t xml:space="preserve">1. </w:t>
      </w:r>
      <w:r>
        <w:t>Namespace and operator watch scope approved.</w:t>
      </w:r>
    </w:p>
    <w:p>
      <w:pPr>
        <w:spacing w:after="60"/>
        <w:ind w:left="0" w:firstLine="0"/>
      </w:pPr>
      <w:r>
        <w:rPr>
          <w:b w:val="0"/>
        </w:rPr>
        <w:t xml:space="preserve">2. </w:t>
      </w:r>
      <w:r>
        <w:t>Operator and application service accounts identified.</w:t>
      </w:r>
    </w:p>
    <w:p>
      <w:pPr>
        <w:spacing w:after="60"/>
        <w:ind w:left="0" w:firstLine="0"/>
      </w:pPr>
      <w:r>
        <w:rPr>
          <w:b w:val="0"/>
        </w:rPr>
        <w:t xml:space="preserve">3. </w:t>
      </w:r>
      <w:r>
        <w:t>RBAC permissions reviewed for least privilege.</w:t>
      </w:r>
    </w:p>
    <w:p>
      <w:pPr>
        <w:spacing w:after="60"/>
        <w:ind w:left="0" w:firstLine="0"/>
      </w:pPr>
      <w:r>
        <w:rPr>
          <w:b w:val="0"/>
        </w:rPr>
        <w:t xml:space="preserve">4. </w:t>
      </w:r>
      <w:r>
        <w:t>SCC/UID model approved; anyuid requires explicit exception justification.</w:t>
      </w:r>
    </w:p>
    <w:p>
      <w:pPr>
        <w:spacing w:after="60"/>
        <w:ind w:left="0" w:firstLine="0"/>
      </w:pPr>
      <w:r>
        <w:rPr>
          <w:b w:val="0"/>
        </w:rPr>
        <w:t xml:space="preserve">5. </w:t>
      </w:r>
      <w:r>
        <w:t>Webhook/cert-manager decision approved.</w:t>
      </w:r>
    </w:p>
    <w:p>
      <w:pPr>
        <w:spacing w:after="60"/>
        <w:ind w:left="0" w:firstLine="0"/>
      </w:pPr>
      <w:r>
        <w:rPr>
          <w:b w:val="0"/>
        </w:rPr>
        <w:t xml:space="preserve">6. </w:t>
      </w:r>
      <w:r>
        <w:t>Container image sources and pull credentials approved.</w:t>
      </w:r>
    </w:p>
    <w:p>
      <w:pPr>
        <w:spacing w:after="60"/>
        <w:ind w:left="0" w:firstLine="0"/>
      </w:pPr>
      <w:r>
        <w:rPr>
          <w:b w:val="0"/>
        </w:rPr>
        <w:t xml:space="preserve">7. </w:t>
      </w:r>
      <w:r>
        <w:t>Network egress destinations documented and approved.</w:t>
      </w:r>
    </w:p>
    <w:p>
      <w:pPr>
        <w:spacing w:after="60"/>
        <w:ind w:left="0" w:firstLine="0"/>
      </w:pPr>
      <w:r>
        <w:rPr>
          <w:b w:val="0"/>
        </w:rPr>
        <w:t xml:space="preserve">8. </w:t>
      </w:r>
      <w:r>
        <w:t>Checkpoint/savepoint storage design confirmed.</w:t>
      </w:r>
    </w:p>
    <w:p>
      <w:pPr>
        <w:spacing w:after="60"/>
        <w:ind w:left="0" w:firstLine="0"/>
      </w:pPr>
      <w:r>
        <w:rPr>
          <w:b w:val="0"/>
        </w:rPr>
        <w:t xml:space="preserve">9. </w:t>
      </w:r>
      <w:r>
        <w:t>Resource requests/limits and namespace quotas confirmed.</w:t>
      </w:r>
    </w:p>
    <w:p>
      <w:pPr>
        <w:spacing w:after="60"/>
        <w:ind w:left="0" w:firstLine="0"/>
      </w:pPr>
      <w:r>
        <w:rPr>
          <w:b w:val="0"/>
        </w:rPr>
        <w:t xml:space="preserve">10. </w:t>
      </w:r>
      <w:r>
        <w:t>Observability and operational ownership defined.</w:t>
      </w:r>
    </w:p>
    <w:p>
      <w:pPr>
        <w:spacing w:after="60"/>
        <w:ind w:left="0" w:firstLine="0"/>
      </w:pPr>
      <w:r>
        <w:rPr>
          <w:b w:val="0"/>
        </w:rPr>
        <w:t xml:space="preserve">11. </w:t>
      </w:r>
      <w:r>
        <w:t>Upgrade/rollback procedure and ownership agreed.</w:t>
      </w:r>
    </w:p>
    <w:p>
      <w:pPr>
        <w:pStyle w:val="Heading1"/>
      </w:pPr>
      <w:r>
        <w:t>8. Developer Intake Template</w:t>
      </w:r>
    </w:p>
    <w:p>
      <w:r>
        <w:t>The application team can complete the following before an infrastructure change request is raised: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744"/>
            <w:shd w:fill="1F4E78"/>
            <w:vAlign w:val="center"/>
            <w:tcMar>
              <w:top w:w="90" w:type="dxa"/>
              <w:start w:w="100" w:type="dxa"/>
              <w:bottom w:w="90" w:type="dxa"/>
              <w:end w:w="100" w:type="dxa"/>
            </w:tcMar>
          </w:tcPr>
          <w:p>
            <w:pPr>
              <w:jc w:val="center"/>
            </w:pPr>
            <w:r>
              <w:rPr>
                <w:b/>
                <w:color w:val="FFFFFF"/>
                <w:sz w:val="19"/>
              </w:rPr>
              <w:t>Field</w:t>
            </w:r>
          </w:p>
        </w:tc>
        <w:tc>
          <w:tcPr>
            <w:tcW w:type="dxa" w:w="6480"/>
            <w:shd w:fill="1F4E78"/>
            <w:vAlign w:val="center"/>
            <w:tcMar>
              <w:top w:w="90" w:type="dxa"/>
              <w:start w:w="100" w:type="dxa"/>
              <w:bottom w:w="90" w:type="dxa"/>
              <w:end w:w="100" w:type="dxa"/>
            </w:tcMar>
          </w:tcPr>
          <w:p>
            <w:pPr>
              <w:jc w:val="center"/>
            </w:pPr>
            <w:r>
              <w:rPr>
                <w:b/>
                <w:color w:val="FFFFFF"/>
                <w:sz w:val="19"/>
              </w:rPr>
              <w:t>Developer response</w:t>
            </w:r>
          </w:p>
        </w:tc>
      </w:tr>
      <w:tr>
        <w:trPr>
          <w:cantSplit/>
        </w:trPr>
        <w:tc>
          <w:tcPr>
            <w:tcW w:type="dxa" w:w="3744"/>
            <w:vAlign w:val="top"/>
            <w:tcMar>
              <w:top w:w="90" w:type="dxa"/>
              <w:start w:w="100" w:type="dxa"/>
              <w:bottom w:w="90" w:type="dxa"/>
              <w:end w:w="100" w:type="dxa"/>
            </w:tcMar>
          </w:tcPr>
          <w:p>
            <w:r>
              <w:rPr>
                <w:sz w:val="18"/>
              </w:rPr>
              <w:t>Application / team</w:t>
            </w:r>
          </w:p>
        </w:tc>
        <w:tc>
          <w:tcPr>
            <w:tcW w:type="dxa" w:w="6480"/>
            <w:vAlign w:val="top"/>
            <w:tcMar>
              <w:top w:w="90" w:type="dxa"/>
              <w:start w:w="100" w:type="dxa"/>
              <w:bottom w:w="90" w:type="dxa"/>
              <w:end w:w="100" w:type="dxa"/>
            </w:tcMar>
          </w:tcPr>
          <w:p>
            <w:r>
              <w:rPr>
                <w:sz w:val="18"/>
              </w:rPr>
            </w:r>
          </w:p>
        </w:tc>
      </w:tr>
      <w:tr>
        <w:trPr>
          <w:cantSplit/>
        </w:trPr>
        <w:tc>
          <w:tcPr>
            <w:tcW w:type="dxa" w:w="3744"/>
            <w:shd w:fill="F3F6F9"/>
            <w:vAlign w:val="top"/>
            <w:tcMar>
              <w:top w:w="90" w:type="dxa"/>
              <w:start w:w="100" w:type="dxa"/>
              <w:bottom w:w="90" w:type="dxa"/>
              <w:end w:w="100" w:type="dxa"/>
            </w:tcMar>
          </w:tcPr>
          <w:p>
            <w:r>
              <w:rPr>
                <w:sz w:val="18"/>
              </w:rPr>
              <w:t>Environment</w:t>
            </w:r>
          </w:p>
        </w:tc>
        <w:tc>
          <w:tcPr>
            <w:tcW w:type="dxa" w:w="6480"/>
            <w:shd w:fill="F3F6F9"/>
            <w:vAlign w:val="top"/>
            <w:tcMar>
              <w:top w:w="90" w:type="dxa"/>
              <w:start w:w="100" w:type="dxa"/>
              <w:bottom w:w="90" w:type="dxa"/>
              <w:end w:w="100" w:type="dxa"/>
            </w:tcMar>
          </w:tcPr>
          <w:p>
            <w:r>
              <w:rPr>
                <w:sz w:val="18"/>
              </w:rPr>
              <w:t>DEV / UAT / PROD</w:t>
            </w:r>
          </w:p>
        </w:tc>
      </w:tr>
      <w:tr>
        <w:trPr>
          <w:cantSplit/>
        </w:trPr>
        <w:tc>
          <w:tcPr>
            <w:tcW w:type="dxa" w:w="3744"/>
            <w:vAlign w:val="top"/>
            <w:tcMar>
              <w:top w:w="90" w:type="dxa"/>
              <w:start w:w="100" w:type="dxa"/>
              <w:bottom w:w="90" w:type="dxa"/>
              <w:end w:w="100" w:type="dxa"/>
            </w:tcMar>
          </w:tcPr>
          <w:p>
            <w:r>
              <w:rPr>
                <w:sz w:val="18"/>
              </w:rPr>
              <w:t>Operator version</w:t>
            </w:r>
          </w:p>
        </w:tc>
        <w:tc>
          <w:tcPr>
            <w:tcW w:type="dxa" w:w="6480"/>
            <w:vAlign w:val="top"/>
            <w:tcMar>
              <w:top w:w="90" w:type="dxa"/>
              <w:start w:w="100" w:type="dxa"/>
              <w:bottom w:w="90" w:type="dxa"/>
              <w:end w:w="100" w:type="dxa"/>
            </w:tcMar>
          </w:tcPr>
          <w:p>
            <w:r>
              <w:rPr>
                <w:sz w:val="18"/>
              </w:rPr>
            </w:r>
          </w:p>
        </w:tc>
      </w:tr>
      <w:tr>
        <w:trPr>
          <w:cantSplit/>
        </w:trPr>
        <w:tc>
          <w:tcPr>
            <w:tcW w:type="dxa" w:w="3744"/>
            <w:shd w:fill="F3F6F9"/>
            <w:vAlign w:val="top"/>
            <w:tcMar>
              <w:top w:w="90" w:type="dxa"/>
              <w:start w:w="100" w:type="dxa"/>
              <w:bottom w:w="90" w:type="dxa"/>
              <w:end w:w="100" w:type="dxa"/>
            </w:tcMar>
          </w:tcPr>
          <w:p>
            <w:r>
              <w:rPr>
                <w:sz w:val="18"/>
              </w:rPr>
              <w:t>Flink runtime version(s)</w:t>
            </w:r>
          </w:p>
        </w:tc>
        <w:tc>
          <w:tcPr>
            <w:tcW w:type="dxa" w:w="6480"/>
            <w:shd w:fill="F3F6F9"/>
            <w:vAlign w:val="top"/>
            <w:tcMar>
              <w:top w:w="90" w:type="dxa"/>
              <w:start w:w="100" w:type="dxa"/>
              <w:bottom w:w="90" w:type="dxa"/>
              <w:end w:w="100" w:type="dxa"/>
            </w:tcMar>
          </w:tcPr>
          <w:p>
            <w:r>
              <w:rPr>
                <w:sz w:val="18"/>
              </w:rPr>
            </w:r>
          </w:p>
        </w:tc>
      </w:tr>
      <w:tr>
        <w:trPr>
          <w:cantSplit/>
        </w:trPr>
        <w:tc>
          <w:tcPr>
            <w:tcW w:type="dxa" w:w="3744"/>
            <w:vAlign w:val="top"/>
            <w:tcMar>
              <w:top w:w="90" w:type="dxa"/>
              <w:start w:w="100" w:type="dxa"/>
              <w:bottom w:w="90" w:type="dxa"/>
              <w:end w:w="100" w:type="dxa"/>
            </w:tcMar>
          </w:tcPr>
          <w:p>
            <w:r>
              <w:rPr>
                <w:sz w:val="18"/>
              </w:rPr>
              <w:t>Operator namespace</w:t>
            </w:r>
          </w:p>
        </w:tc>
        <w:tc>
          <w:tcPr>
            <w:tcW w:type="dxa" w:w="6480"/>
            <w:vAlign w:val="top"/>
            <w:tcMar>
              <w:top w:w="90" w:type="dxa"/>
              <w:start w:w="100" w:type="dxa"/>
              <w:bottom w:w="90" w:type="dxa"/>
              <w:end w:w="100" w:type="dxa"/>
            </w:tcMar>
          </w:tcPr>
          <w:p>
            <w:r>
              <w:rPr>
                <w:sz w:val="18"/>
              </w:rPr>
            </w:r>
          </w:p>
        </w:tc>
      </w:tr>
      <w:tr>
        <w:trPr>
          <w:cantSplit/>
        </w:trPr>
        <w:tc>
          <w:tcPr>
            <w:tcW w:type="dxa" w:w="3744"/>
            <w:shd w:fill="F3F6F9"/>
            <w:vAlign w:val="top"/>
            <w:tcMar>
              <w:top w:w="90" w:type="dxa"/>
              <w:start w:w="100" w:type="dxa"/>
              <w:bottom w:w="90" w:type="dxa"/>
              <w:end w:w="100" w:type="dxa"/>
            </w:tcMar>
          </w:tcPr>
          <w:p>
            <w:r>
              <w:rPr>
                <w:sz w:val="18"/>
              </w:rPr>
              <w:t>Application namespace(s)</w:t>
            </w:r>
          </w:p>
        </w:tc>
        <w:tc>
          <w:tcPr>
            <w:tcW w:type="dxa" w:w="6480"/>
            <w:shd w:fill="F3F6F9"/>
            <w:vAlign w:val="top"/>
            <w:tcMar>
              <w:top w:w="90" w:type="dxa"/>
              <w:start w:w="100" w:type="dxa"/>
              <w:bottom w:w="90" w:type="dxa"/>
              <w:end w:w="100" w:type="dxa"/>
            </w:tcMar>
          </w:tcPr>
          <w:p>
            <w:r>
              <w:rPr>
                <w:sz w:val="18"/>
              </w:rPr>
            </w:r>
          </w:p>
        </w:tc>
      </w:tr>
      <w:tr>
        <w:trPr>
          <w:cantSplit/>
        </w:trPr>
        <w:tc>
          <w:tcPr>
            <w:tcW w:type="dxa" w:w="3744"/>
            <w:vAlign w:val="top"/>
            <w:tcMar>
              <w:top w:w="90" w:type="dxa"/>
              <w:start w:w="100" w:type="dxa"/>
              <w:bottom w:w="90" w:type="dxa"/>
              <w:end w:w="100" w:type="dxa"/>
            </w:tcMar>
          </w:tcPr>
          <w:p>
            <w:r>
              <w:rPr>
                <w:sz w:val="18"/>
              </w:rPr>
              <w:t>Watch scope</w:t>
            </w:r>
          </w:p>
        </w:tc>
        <w:tc>
          <w:tcPr>
            <w:tcW w:type="dxa" w:w="6480"/>
            <w:vAlign w:val="top"/>
            <w:tcMar>
              <w:top w:w="90" w:type="dxa"/>
              <w:start w:w="100" w:type="dxa"/>
              <w:bottom w:w="90" w:type="dxa"/>
              <w:end w:w="100" w:type="dxa"/>
            </w:tcMar>
          </w:tcPr>
          <w:p>
            <w:r>
              <w:rPr>
                <w:sz w:val="18"/>
              </w:rPr>
              <w:t>Single namespace / specific namespaces / cluster-wide</w:t>
            </w:r>
          </w:p>
        </w:tc>
      </w:tr>
      <w:tr>
        <w:trPr>
          <w:cantSplit/>
        </w:trPr>
        <w:tc>
          <w:tcPr>
            <w:tcW w:type="dxa" w:w="3744"/>
            <w:shd w:fill="F3F6F9"/>
            <w:vAlign w:val="top"/>
            <w:tcMar>
              <w:top w:w="90" w:type="dxa"/>
              <w:start w:w="100" w:type="dxa"/>
              <w:bottom w:w="90" w:type="dxa"/>
              <w:end w:w="100" w:type="dxa"/>
            </w:tcMar>
          </w:tcPr>
          <w:p>
            <w:r>
              <w:rPr>
                <w:sz w:val="18"/>
              </w:rPr>
              <w:t>Operator service account</w:t>
            </w:r>
          </w:p>
        </w:tc>
        <w:tc>
          <w:tcPr>
            <w:tcW w:type="dxa" w:w="6480"/>
            <w:shd w:fill="F3F6F9"/>
            <w:vAlign w:val="top"/>
            <w:tcMar>
              <w:top w:w="90" w:type="dxa"/>
              <w:start w:w="100" w:type="dxa"/>
              <w:bottom w:w="90" w:type="dxa"/>
              <w:end w:w="100" w:type="dxa"/>
            </w:tcMar>
          </w:tcPr>
          <w:p>
            <w:r>
              <w:rPr>
                <w:sz w:val="18"/>
              </w:rPr>
            </w:r>
          </w:p>
        </w:tc>
      </w:tr>
      <w:tr>
        <w:trPr>
          <w:cantSplit/>
        </w:trPr>
        <w:tc>
          <w:tcPr>
            <w:tcW w:type="dxa" w:w="3744"/>
            <w:vAlign w:val="top"/>
            <w:tcMar>
              <w:top w:w="90" w:type="dxa"/>
              <w:start w:w="100" w:type="dxa"/>
              <w:bottom w:w="90" w:type="dxa"/>
              <w:end w:w="100" w:type="dxa"/>
            </w:tcMar>
          </w:tcPr>
          <w:p>
            <w:r>
              <w:rPr>
                <w:sz w:val="18"/>
              </w:rPr>
              <w:t>Application service account</w:t>
            </w:r>
          </w:p>
        </w:tc>
        <w:tc>
          <w:tcPr>
            <w:tcW w:type="dxa" w:w="6480"/>
            <w:vAlign w:val="top"/>
            <w:tcMar>
              <w:top w:w="90" w:type="dxa"/>
              <w:start w:w="100" w:type="dxa"/>
              <w:bottom w:w="90" w:type="dxa"/>
              <w:end w:w="100" w:type="dxa"/>
            </w:tcMar>
          </w:tcPr>
          <w:p>
            <w:r>
              <w:rPr>
                <w:sz w:val="18"/>
              </w:rPr>
            </w:r>
          </w:p>
        </w:tc>
      </w:tr>
      <w:tr>
        <w:trPr>
          <w:cantSplit/>
        </w:trPr>
        <w:tc>
          <w:tcPr>
            <w:tcW w:type="dxa" w:w="3744"/>
            <w:shd w:fill="F3F6F9"/>
            <w:vAlign w:val="top"/>
            <w:tcMar>
              <w:top w:w="90" w:type="dxa"/>
              <w:start w:w="100" w:type="dxa"/>
              <w:bottom w:w="90" w:type="dxa"/>
              <w:end w:w="100" w:type="dxa"/>
            </w:tcMar>
          </w:tcPr>
          <w:p>
            <w:r>
              <w:rPr>
                <w:sz w:val="18"/>
              </w:rPr>
              <w:t>Arbitrary UID supported?</w:t>
            </w:r>
          </w:p>
        </w:tc>
        <w:tc>
          <w:tcPr>
            <w:tcW w:type="dxa" w:w="6480"/>
            <w:shd w:fill="F3F6F9"/>
            <w:vAlign w:val="top"/>
            <w:tcMar>
              <w:top w:w="90" w:type="dxa"/>
              <w:start w:w="100" w:type="dxa"/>
              <w:bottom w:w="90" w:type="dxa"/>
              <w:end w:w="100" w:type="dxa"/>
            </w:tcMar>
          </w:tcPr>
          <w:p>
            <w:r>
              <w:rPr>
                <w:sz w:val="18"/>
              </w:rPr>
              <w:t>Yes / No</w:t>
            </w:r>
          </w:p>
        </w:tc>
      </w:tr>
      <w:tr>
        <w:trPr>
          <w:cantSplit/>
        </w:trPr>
        <w:tc>
          <w:tcPr>
            <w:tcW w:type="dxa" w:w="3744"/>
            <w:vAlign w:val="top"/>
            <w:tcMar>
              <w:top w:w="90" w:type="dxa"/>
              <w:start w:w="100" w:type="dxa"/>
              <w:bottom w:w="90" w:type="dxa"/>
              <w:end w:w="100" w:type="dxa"/>
            </w:tcMar>
          </w:tcPr>
          <w:p>
            <w:r>
              <w:rPr>
                <w:sz w:val="18"/>
              </w:rPr>
              <w:t>Fixed UID required?</w:t>
            </w:r>
          </w:p>
        </w:tc>
        <w:tc>
          <w:tcPr>
            <w:tcW w:type="dxa" w:w="6480"/>
            <w:vAlign w:val="top"/>
            <w:tcMar>
              <w:top w:w="90" w:type="dxa"/>
              <w:start w:w="100" w:type="dxa"/>
              <w:bottom w:w="90" w:type="dxa"/>
              <w:end w:w="100" w:type="dxa"/>
            </w:tcMar>
          </w:tcPr>
          <w:p>
            <w:r>
              <w:rPr>
                <w:sz w:val="18"/>
              </w:rPr>
              <w:t>If yes, specify UID and reason</w:t>
            </w:r>
          </w:p>
        </w:tc>
      </w:tr>
      <w:tr>
        <w:trPr>
          <w:cantSplit/>
        </w:trPr>
        <w:tc>
          <w:tcPr>
            <w:tcW w:type="dxa" w:w="3744"/>
            <w:shd w:fill="F3F6F9"/>
            <w:vAlign w:val="top"/>
            <w:tcMar>
              <w:top w:w="90" w:type="dxa"/>
              <w:start w:w="100" w:type="dxa"/>
              <w:bottom w:w="90" w:type="dxa"/>
              <w:end w:w="100" w:type="dxa"/>
            </w:tcMar>
          </w:tcPr>
          <w:p>
            <w:r>
              <w:rPr>
                <w:sz w:val="18"/>
              </w:rPr>
              <w:t>anyuid requested?</w:t>
            </w:r>
          </w:p>
        </w:tc>
        <w:tc>
          <w:tcPr>
            <w:tcW w:type="dxa" w:w="6480"/>
            <w:shd w:fill="F3F6F9"/>
            <w:vAlign w:val="top"/>
            <w:tcMar>
              <w:top w:w="90" w:type="dxa"/>
              <w:start w:w="100" w:type="dxa"/>
              <w:bottom w:w="90" w:type="dxa"/>
              <w:end w:w="100" w:type="dxa"/>
            </w:tcMar>
          </w:tcPr>
          <w:p>
            <w:r>
              <w:rPr>
                <w:sz w:val="18"/>
              </w:rPr>
              <w:t>Yes / No; justification required</w:t>
            </w:r>
          </w:p>
        </w:tc>
      </w:tr>
      <w:tr>
        <w:trPr>
          <w:cantSplit/>
        </w:trPr>
        <w:tc>
          <w:tcPr>
            <w:tcW w:type="dxa" w:w="3744"/>
            <w:vAlign w:val="top"/>
            <w:tcMar>
              <w:top w:w="90" w:type="dxa"/>
              <w:start w:w="100" w:type="dxa"/>
              <w:bottom w:w="90" w:type="dxa"/>
              <w:end w:w="100" w:type="dxa"/>
            </w:tcMar>
          </w:tcPr>
          <w:p>
            <w:r>
              <w:rPr>
                <w:sz w:val="18"/>
              </w:rPr>
              <w:t>Webhooks required?</w:t>
            </w:r>
          </w:p>
        </w:tc>
        <w:tc>
          <w:tcPr>
            <w:tcW w:type="dxa" w:w="6480"/>
            <w:vAlign w:val="top"/>
            <w:tcMar>
              <w:top w:w="90" w:type="dxa"/>
              <w:start w:w="100" w:type="dxa"/>
              <w:bottom w:w="90" w:type="dxa"/>
              <w:end w:w="100" w:type="dxa"/>
            </w:tcMar>
          </w:tcPr>
          <w:p>
            <w:r>
              <w:rPr>
                <w:sz w:val="18"/>
              </w:rPr>
              <w:t>Yes / No</w:t>
            </w:r>
          </w:p>
        </w:tc>
      </w:tr>
      <w:tr>
        <w:trPr>
          <w:cantSplit/>
        </w:trPr>
        <w:tc>
          <w:tcPr>
            <w:tcW w:type="dxa" w:w="3744"/>
            <w:shd w:fill="F3F6F9"/>
            <w:vAlign w:val="top"/>
            <w:tcMar>
              <w:top w:w="90" w:type="dxa"/>
              <w:start w:w="100" w:type="dxa"/>
              <w:bottom w:w="90" w:type="dxa"/>
              <w:end w:w="100" w:type="dxa"/>
            </w:tcMar>
          </w:tcPr>
          <w:p>
            <w:r>
              <w:rPr>
                <w:sz w:val="18"/>
              </w:rPr>
              <w:t>cert-manager dependency approved?</w:t>
            </w:r>
          </w:p>
        </w:tc>
        <w:tc>
          <w:tcPr>
            <w:tcW w:type="dxa" w:w="6480"/>
            <w:shd w:fill="F3F6F9"/>
            <w:vAlign w:val="top"/>
            <w:tcMar>
              <w:top w:w="90" w:type="dxa"/>
              <w:start w:w="100" w:type="dxa"/>
              <w:bottom w:w="90" w:type="dxa"/>
              <w:end w:w="100" w:type="dxa"/>
            </w:tcMar>
          </w:tcPr>
          <w:p>
            <w:r>
              <w:rPr>
                <w:sz w:val="18"/>
              </w:rPr>
              <w:t>Yes / No / Not applicable</w:t>
            </w:r>
          </w:p>
        </w:tc>
      </w:tr>
      <w:tr>
        <w:trPr>
          <w:cantSplit/>
        </w:trPr>
        <w:tc>
          <w:tcPr>
            <w:tcW w:type="dxa" w:w="3744"/>
            <w:vAlign w:val="top"/>
            <w:tcMar>
              <w:top w:w="90" w:type="dxa"/>
              <w:start w:w="100" w:type="dxa"/>
              <w:bottom w:w="90" w:type="dxa"/>
              <w:end w:w="100" w:type="dxa"/>
            </w:tcMar>
          </w:tcPr>
          <w:p>
            <w:r>
              <w:rPr>
                <w:sz w:val="18"/>
              </w:rPr>
              <w:t>Image registry</w:t>
            </w:r>
          </w:p>
        </w:tc>
        <w:tc>
          <w:tcPr>
            <w:tcW w:type="dxa" w:w="6480"/>
            <w:vAlign w:val="top"/>
            <w:tcMar>
              <w:top w:w="90" w:type="dxa"/>
              <w:start w:w="100" w:type="dxa"/>
              <w:bottom w:w="90" w:type="dxa"/>
              <w:end w:w="100" w:type="dxa"/>
            </w:tcMar>
          </w:tcPr>
          <w:p>
            <w:r>
              <w:rPr>
                <w:sz w:val="18"/>
              </w:rPr>
            </w:r>
          </w:p>
        </w:tc>
      </w:tr>
      <w:tr>
        <w:trPr>
          <w:cantSplit/>
        </w:trPr>
        <w:tc>
          <w:tcPr>
            <w:tcW w:type="dxa" w:w="3744"/>
            <w:shd w:fill="F3F6F9"/>
            <w:vAlign w:val="top"/>
            <w:tcMar>
              <w:top w:w="90" w:type="dxa"/>
              <w:start w:w="100" w:type="dxa"/>
              <w:bottom w:w="90" w:type="dxa"/>
              <w:end w:w="100" w:type="dxa"/>
            </w:tcMar>
          </w:tcPr>
          <w:p>
            <w:r>
              <w:rPr>
                <w:sz w:val="18"/>
              </w:rPr>
              <w:t>Application JAR delivery</w:t>
            </w:r>
          </w:p>
        </w:tc>
        <w:tc>
          <w:tcPr>
            <w:tcW w:type="dxa" w:w="6480"/>
            <w:shd w:fill="F3F6F9"/>
            <w:vAlign w:val="top"/>
            <w:tcMar>
              <w:top w:w="90" w:type="dxa"/>
              <w:start w:w="100" w:type="dxa"/>
              <w:bottom w:w="90" w:type="dxa"/>
              <w:end w:w="100" w:type="dxa"/>
            </w:tcMar>
          </w:tcPr>
          <w:p>
            <w:r>
              <w:rPr>
                <w:sz w:val="18"/>
              </w:rPr>
              <w:t>Built into image / object storage / other</w:t>
            </w:r>
          </w:p>
        </w:tc>
      </w:tr>
      <w:tr>
        <w:trPr>
          <w:cantSplit/>
        </w:trPr>
        <w:tc>
          <w:tcPr>
            <w:tcW w:type="dxa" w:w="3744"/>
            <w:vAlign w:val="top"/>
            <w:tcMar>
              <w:top w:w="90" w:type="dxa"/>
              <w:start w:w="100" w:type="dxa"/>
              <w:bottom w:w="90" w:type="dxa"/>
              <w:end w:w="100" w:type="dxa"/>
            </w:tcMar>
          </w:tcPr>
          <w:p>
            <w:r>
              <w:rPr>
                <w:sz w:val="18"/>
              </w:rPr>
              <w:t>Kafka endpoints</w:t>
            </w:r>
          </w:p>
        </w:tc>
        <w:tc>
          <w:tcPr>
            <w:tcW w:type="dxa" w:w="6480"/>
            <w:vAlign w:val="top"/>
            <w:tcMar>
              <w:top w:w="90" w:type="dxa"/>
              <w:start w:w="100" w:type="dxa"/>
              <w:bottom w:w="90" w:type="dxa"/>
              <w:end w:w="100" w:type="dxa"/>
            </w:tcMar>
          </w:tcPr>
          <w:p>
            <w:r>
              <w:rPr>
                <w:sz w:val="18"/>
              </w:rPr>
            </w:r>
          </w:p>
        </w:tc>
      </w:tr>
      <w:tr>
        <w:trPr>
          <w:cantSplit/>
        </w:trPr>
        <w:tc>
          <w:tcPr>
            <w:tcW w:type="dxa" w:w="3744"/>
            <w:shd w:fill="F3F6F9"/>
            <w:vAlign w:val="top"/>
            <w:tcMar>
              <w:top w:w="90" w:type="dxa"/>
              <w:start w:w="100" w:type="dxa"/>
              <w:bottom w:w="90" w:type="dxa"/>
              <w:end w:w="100" w:type="dxa"/>
            </w:tcMar>
          </w:tcPr>
          <w:p>
            <w:r>
              <w:rPr>
                <w:sz w:val="18"/>
              </w:rPr>
              <w:t>Other external endpoints</w:t>
            </w:r>
          </w:p>
        </w:tc>
        <w:tc>
          <w:tcPr>
            <w:tcW w:type="dxa" w:w="6480"/>
            <w:shd w:fill="F3F6F9"/>
            <w:vAlign w:val="top"/>
            <w:tcMar>
              <w:top w:w="90" w:type="dxa"/>
              <w:start w:w="100" w:type="dxa"/>
              <w:bottom w:w="90" w:type="dxa"/>
              <w:end w:w="100" w:type="dxa"/>
            </w:tcMar>
          </w:tcPr>
          <w:p>
            <w:r>
              <w:rPr>
                <w:sz w:val="18"/>
              </w:rPr>
            </w:r>
          </w:p>
        </w:tc>
      </w:tr>
      <w:tr>
        <w:trPr>
          <w:cantSplit/>
        </w:trPr>
        <w:tc>
          <w:tcPr>
            <w:tcW w:type="dxa" w:w="3744"/>
            <w:vAlign w:val="top"/>
            <w:tcMar>
              <w:top w:w="90" w:type="dxa"/>
              <w:start w:w="100" w:type="dxa"/>
              <w:bottom w:w="90" w:type="dxa"/>
              <w:end w:w="100" w:type="dxa"/>
            </w:tcMar>
          </w:tcPr>
          <w:p>
            <w:r>
              <w:rPr>
                <w:sz w:val="18"/>
              </w:rPr>
              <w:t>Checkpoint/savepoint location</w:t>
            </w:r>
          </w:p>
        </w:tc>
        <w:tc>
          <w:tcPr>
            <w:tcW w:type="dxa" w:w="6480"/>
            <w:vAlign w:val="top"/>
            <w:tcMar>
              <w:top w:w="90" w:type="dxa"/>
              <w:start w:w="100" w:type="dxa"/>
              <w:bottom w:w="90" w:type="dxa"/>
              <w:end w:w="100" w:type="dxa"/>
            </w:tcMar>
          </w:tcPr>
          <w:p>
            <w:r>
              <w:rPr>
                <w:sz w:val="18"/>
              </w:rPr>
            </w:r>
          </w:p>
        </w:tc>
      </w:tr>
      <w:tr>
        <w:trPr>
          <w:cantSplit/>
        </w:trPr>
        <w:tc>
          <w:tcPr>
            <w:tcW w:type="dxa" w:w="3744"/>
            <w:shd w:fill="F3F6F9"/>
            <w:vAlign w:val="top"/>
            <w:tcMar>
              <w:top w:w="90" w:type="dxa"/>
              <w:start w:w="100" w:type="dxa"/>
              <w:bottom w:w="90" w:type="dxa"/>
              <w:end w:w="100" w:type="dxa"/>
            </w:tcMar>
          </w:tcPr>
          <w:p>
            <w:r>
              <w:rPr>
                <w:sz w:val="18"/>
              </w:rPr>
              <w:t>JobManager CPU/RAM</w:t>
            </w:r>
          </w:p>
        </w:tc>
        <w:tc>
          <w:tcPr>
            <w:tcW w:type="dxa" w:w="6480"/>
            <w:shd w:fill="F3F6F9"/>
            <w:vAlign w:val="top"/>
            <w:tcMar>
              <w:top w:w="90" w:type="dxa"/>
              <w:start w:w="100" w:type="dxa"/>
              <w:bottom w:w="90" w:type="dxa"/>
              <w:end w:w="100" w:type="dxa"/>
            </w:tcMar>
          </w:tcPr>
          <w:p>
            <w:r>
              <w:rPr>
                <w:sz w:val="18"/>
              </w:rPr>
            </w:r>
          </w:p>
        </w:tc>
      </w:tr>
      <w:tr>
        <w:trPr>
          <w:cantSplit/>
        </w:trPr>
        <w:tc>
          <w:tcPr>
            <w:tcW w:type="dxa" w:w="3744"/>
            <w:vAlign w:val="top"/>
            <w:tcMar>
              <w:top w:w="90" w:type="dxa"/>
              <w:start w:w="100" w:type="dxa"/>
              <w:bottom w:w="90" w:type="dxa"/>
              <w:end w:w="100" w:type="dxa"/>
            </w:tcMar>
          </w:tcPr>
          <w:p>
            <w:r>
              <w:rPr>
                <w:sz w:val="18"/>
              </w:rPr>
              <w:t>TaskManager CPU/RAM</w:t>
            </w:r>
          </w:p>
        </w:tc>
        <w:tc>
          <w:tcPr>
            <w:tcW w:type="dxa" w:w="6480"/>
            <w:vAlign w:val="top"/>
            <w:tcMar>
              <w:top w:w="90" w:type="dxa"/>
              <w:start w:w="100" w:type="dxa"/>
              <w:bottom w:w="90" w:type="dxa"/>
              <w:end w:w="100" w:type="dxa"/>
            </w:tcMar>
          </w:tcPr>
          <w:p>
            <w:r>
              <w:rPr>
                <w:sz w:val="18"/>
              </w:rPr>
            </w:r>
          </w:p>
        </w:tc>
      </w:tr>
      <w:tr>
        <w:trPr>
          <w:cantSplit/>
        </w:trPr>
        <w:tc>
          <w:tcPr>
            <w:tcW w:type="dxa" w:w="3744"/>
            <w:shd w:fill="F3F6F9"/>
            <w:vAlign w:val="top"/>
            <w:tcMar>
              <w:top w:w="90" w:type="dxa"/>
              <w:start w:w="100" w:type="dxa"/>
              <w:bottom w:w="90" w:type="dxa"/>
              <w:end w:w="100" w:type="dxa"/>
            </w:tcMar>
          </w:tcPr>
          <w:p>
            <w:r>
              <w:rPr>
                <w:sz w:val="18"/>
              </w:rPr>
              <w:t>TaskManager replicas / parallelism</w:t>
            </w:r>
          </w:p>
        </w:tc>
        <w:tc>
          <w:tcPr>
            <w:tcW w:type="dxa" w:w="6480"/>
            <w:shd w:fill="F3F6F9"/>
            <w:vAlign w:val="top"/>
            <w:tcMar>
              <w:top w:w="90" w:type="dxa"/>
              <w:start w:w="100" w:type="dxa"/>
              <w:bottom w:w="90" w:type="dxa"/>
              <w:end w:w="100" w:type="dxa"/>
            </w:tcMar>
          </w:tcPr>
          <w:p>
            <w:r>
              <w:rPr>
                <w:sz w:val="18"/>
              </w:rPr>
            </w:r>
          </w:p>
        </w:tc>
      </w:tr>
      <w:tr>
        <w:trPr>
          <w:cantSplit/>
        </w:trPr>
        <w:tc>
          <w:tcPr>
            <w:tcW w:type="dxa" w:w="3744"/>
            <w:vAlign w:val="top"/>
            <w:tcMar>
              <w:top w:w="90" w:type="dxa"/>
              <w:start w:w="100" w:type="dxa"/>
              <w:bottom w:w="90" w:type="dxa"/>
              <w:end w:w="100" w:type="dxa"/>
            </w:tcMar>
          </w:tcPr>
          <w:p>
            <w:r>
              <w:rPr>
                <w:sz w:val="18"/>
              </w:rPr>
              <w:t>External Flink UI required?</w:t>
            </w:r>
          </w:p>
        </w:tc>
        <w:tc>
          <w:tcPr>
            <w:tcW w:type="dxa" w:w="6480"/>
            <w:vAlign w:val="top"/>
            <w:tcMar>
              <w:top w:w="90" w:type="dxa"/>
              <w:start w:w="100" w:type="dxa"/>
              <w:bottom w:w="90" w:type="dxa"/>
              <w:end w:w="100" w:type="dxa"/>
            </w:tcMar>
          </w:tcPr>
          <w:p>
            <w:r>
              <w:rPr>
                <w:sz w:val="18"/>
              </w:rPr>
              <w:t>Yes / No</w:t>
            </w:r>
          </w:p>
        </w:tc>
      </w:tr>
      <w:tr>
        <w:trPr>
          <w:cantSplit/>
        </w:trPr>
        <w:tc>
          <w:tcPr>
            <w:tcW w:type="dxa" w:w="3744"/>
            <w:shd w:fill="F3F6F9"/>
            <w:vAlign w:val="top"/>
            <w:tcMar>
              <w:top w:w="90" w:type="dxa"/>
              <w:start w:w="100" w:type="dxa"/>
              <w:bottom w:w="90" w:type="dxa"/>
              <w:end w:w="100" w:type="dxa"/>
            </w:tcMar>
          </w:tcPr>
          <w:p>
            <w:r>
              <w:rPr>
                <w:sz w:val="18"/>
              </w:rPr>
              <w:t>HA required?</w:t>
            </w:r>
          </w:p>
        </w:tc>
        <w:tc>
          <w:tcPr>
            <w:tcW w:type="dxa" w:w="6480"/>
            <w:shd w:fill="F3F6F9"/>
            <w:vAlign w:val="top"/>
            <w:tcMar>
              <w:top w:w="90" w:type="dxa"/>
              <w:start w:w="100" w:type="dxa"/>
              <w:bottom w:w="90" w:type="dxa"/>
              <w:end w:w="100" w:type="dxa"/>
            </w:tcMar>
          </w:tcPr>
          <w:p>
            <w:r>
              <w:rPr>
                <w:sz w:val="18"/>
              </w:rPr>
              <w:t>Yes / No</w:t>
            </w:r>
          </w:p>
        </w:tc>
      </w:tr>
      <w:tr>
        <w:trPr>
          <w:cantSplit/>
        </w:trPr>
        <w:tc>
          <w:tcPr>
            <w:tcW w:type="dxa" w:w="3744"/>
            <w:vAlign w:val="top"/>
            <w:tcMar>
              <w:top w:w="90" w:type="dxa"/>
              <w:start w:w="100" w:type="dxa"/>
              <w:bottom w:w="90" w:type="dxa"/>
              <w:end w:w="100" w:type="dxa"/>
            </w:tcMar>
          </w:tcPr>
          <w:p>
            <w:r>
              <w:rPr>
                <w:sz w:val="18"/>
              </w:rPr>
              <w:t>Monitoring/logging destination</w:t>
            </w:r>
          </w:p>
        </w:tc>
        <w:tc>
          <w:tcPr>
            <w:tcW w:type="dxa" w:w="6480"/>
            <w:vAlign w:val="top"/>
            <w:tcMar>
              <w:top w:w="90" w:type="dxa"/>
              <w:start w:w="100" w:type="dxa"/>
              <w:bottom w:w="90" w:type="dxa"/>
              <w:end w:w="100" w:type="dxa"/>
            </w:tcMar>
          </w:tcPr>
          <w:p>
            <w:r>
              <w:rPr>
                <w:sz w:val="18"/>
              </w:rPr>
            </w:r>
          </w:p>
        </w:tc>
      </w:tr>
      <w:tr>
        <w:trPr>
          <w:cantSplit/>
        </w:trPr>
        <w:tc>
          <w:tcPr>
            <w:tcW w:type="dxa" w:w="3744"/>
            <w:shd w:fill="F3F6F9"/>
            <w:vAlign w:val="top"/>
            <w:tcMar>
              <w:top w:w="90" w:type="dxa"/>
              <w:start w:w="100" w:type="dxa"/>
              <w:bottom w:w="90" w:type="dxa"/>
              <w:end w:w="100" w:type="dxa"/>
            </w:tcMar>
          </w:tcPr>
          <w:p>
            <w:r>
              <w:rPr>
                <w:sz w:val="18"/>
              </w:rPr>
              <w:t>Owner for operator upgrades</w:t>
            </w:r>
          </w:p>
        </w:tc>
        <w:tc>
          <w:tcPr>
            <w:tcW w:type="dxa" w:w="6480"/>
            <w:shd w:fill="F3F6F9"/>
            <w:vAlign w:val="top"/>
            <w:tcMar>
              <w:top w:w="90" w:type="dxa"/>
              <w:start w:w="100" w:type="dxa"/>
              <w:bottom w:w="90" w:type="dxa"/>
              <w:end w:w="100" w:type="dxa"/>
            </w:tcMar>
          </w:tcPr>
          <w:p>
            <w:r>
              <w:rPr>
                <w:sz w:val="18"/>
              </w:rPr>
            </w:r>
          </w:p>
        </w:tc>
      </w:tr>
      <w:tr>
        <w:trPr>
          <w:cantSplit/>
        </w:trPr>
        <w:tc>
          <w:tcPr>
            <w:tcW w:type="dxa" w:w="3744"/>
            <w:vAlign w:val="top"/>
            <w:tcMar>
              <w:top w:w="90" w:type="dxa"/>
              <w:start w:w="100" w:type="dxa"/>
              <w:bottom w:w="90" w:type="dxa"/>
              <w:end w:w="100" w:type="dxa"/>
            </w:tcMar>
          </w:tcPr>
          <w:p>
            <w:r>
              <w:rPr>
                <w:sz w:val="18"/>
              </w:rPr>
              <w:t>Owner for Flink application support</w:t>
            </w:r>
          </w:p>
        </w:tc>
        <w:tc>
          <w:tcPr>
            <w:tcW w:type="dxa" w:w="6480"/>
            <w:vAlign w:val="top"/>
            <w:tcMar>
              <w:top w:w="90" w:type="dxa"/>
              <w:start w:w="100" w:type="dxa"/>
              <w:bottom w:w="90" w:type="dxa"/>
              <w:end w:w="100" w:type="dxa"/>
            </w:tcMar>
          </w:tcPr>
          <w:p>
            <w:r>
              <w:rPr>
                <w:sz w:val="18"/>
              </w:rPr>
            </w:r>
          </w:p>
        </w:tc>
      </w:tr>
    </w:tbl>
    <w:p>
      <w:pPr>
        <w:pStyle w:val="Heading1"/>
      </w:pPr>
      <w:r>
        <w:t>9. Relevant Findings from the OpenShift CRC POC</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20"/>
            <w:shd w:fill="1F4E78"/>
            <w:vAlign w:val="center"/>
            <w:tcMar>
              <w:top w:w="90" w:type="dxa"/>
              <w:start w:w="100" w:type="dxa"/>
              <w:bottom w:w="90" w:type="dxa"/>
              <w:end w:w="100" w:type="dxa"/>
            </w:tcMar>
          </w:tcPr>
          <w:p>
            <w:pPr>
              <w:jc w:val="center"/>
            </w:pPr>
            <w:r>
              <w:rPr>
                <w:b/>
                <w:color w:val="FFFFFF"/>
                <w:sz w:val="19"/>
              </w:rPr>
              <w:t>Finding</w:t>
            </w:r>
          </w:p>
        </w:tc>
        <w:tc>
          <w:tcPr>
            <w:tcW w:type="dxa" w:w="7704"/>
            <w:shd w:fill="1F4E78"/>
            <w:vAlign w:val="center"/>
            <w:tcMar>
              <w:top w:w="90" w:type="dxa"/>
              <w:start w:w="100" w:type="dxa"/>
              <w:bottom w:w="90" w:type="dxa"/>
              <w:end w:w="100" w:type="dxa"/>
            </w:tcMar>
          </w:tcPr>
          <w:p>
            <w:pPr>
              <w:jc w:val="center"/>
            </w:pPr>
            <w:r>
              <w:rPr>
                <w:b/>
                <w:color w:val="FFFFFF"/>
                <w:sz w:val="19"/>
              </w:rPr>
              <w:t>Implication for production onboarding</w:t>
            </w:r>
          </w:p>
        </w:tc>
      </w:tr>
      <w:tr>
        <w:trPr>
          <w:cantSplit/>
        </w:trPr>
        <w:tc>
          <w:tcPr>
            <w:tcW w:type="dxa" w:w="2520"/>
            <w:vAlign w:val="top"/>
            <w:tcMar>
              <w:top w:w="90" w:type="dxa"/>
              <w:start w:w="100" w:type="dxa"/>
              <w:bottom w:w="90" w:type="dxa"/>
              <w:end w:w="100" w:type="dxa"/>
            </w:tcMar>
          </w:tcPr>
          <w:p>
            <w:r>
              <w:rPr>
                <w:sz w:val="18"/>
              </w:rPr>
              <w:t>Fixed UID rejection</w:t>
            </w:r>
          </w:p>
        </w:tc>
        <w:tc>
          <w:tcPr>
            <w:tcW w:type="dxa" w:w="7704"/>
            <w:vAlign w:val="top"/>
            <w:tcMar>
              <w:top w:w="90" w:type="dxa"/>
              <w:start w:w="100" w:type="dxa"/>
              <w:bottom w:w="90" w:type="dxa"/>
              <w:end w:w="100" w:type="dxa"/>
            </w:tcMar>
          </w:tcPr>
          <w:p>
            <w:r>
              <w:rPr>
                <w:sz w:val="18"/>
              </w:rPr>
              <w:t>Operator pod requested UID 9999 while OpenShift assigned a different namespace UID range. Pod creation failed under restricted SCC.</w:t>
            </w:r>
          </w:p>
        </w:tc>
      </w:tr>
      <w:tr>
        <w:trPr>
          <w:cantSplit/>
        </w:trPr>
        <w:tc>
          <w:tcPr>
            <w:tcW w:type="dxa" w:w="2520"/>
            <w:shd w:fill="F3F6F9"/>
            <w:vAlign w:val="top"/>
            <w:tcMar>
              <w:top w:w="90" w:type="dxa"/>
              <w:start w:w="100" w:type="dxa"/>
              <w:bottom w:w="90" w:type="dxa"/>
              <w:end w:w="100" w:type="dxa"/>
            </w:tcMar>
          </w:tcPr>
          <w:p>
            <w:r>
              <w:rPr>
                <w:sz w:val="18"/>
              </w:rPr>
              <w:t>SCC exception</w:t>
            </w:r>
          </w:p>
        </w:tc>
        <w:tc>
          <w:tcPr>
            <w:tcW w:type="dxa" w:w="7704"/>
            <w:shd w:fill="F3F6F9"/>
            <w:vAlign w:val="top"/>
            <w:tcMar>
              <w:top w:w="90" w:type="dxa"/>
              <w:start w:w="100" w:type="dxa"/>
              <w:bottom w:w="90" w:type="dxa"/>
              <w:end w:w="100" w:type="dxa"/>
            </w:tcMar>
          </w:tcPr>
          <w:p>
            <w:r>
              <w:rPr>
                <w:sz w:val="18"/>
              </w:rPr>
              <w:t>Granting anyuid to the dedicated flink-operator service account allowed the POC operator pod to start. This is suitable as a test workaround, not a default production policy.</w:t>
            </w:r>
          </w:p>
        </w:tc>
      </w:tr>
      <w:tr>
        <w:trPr>
          <w:cantSplit/>
        </w:trPr>
        <w:tc>
          <w:tcPr>
            <w:tcW w:type="dxa" w:w="2520"/>
            <w:vAlign w:val="top"/>
            <w:tcMar>
              <w:top w:w="90" w:type="dxa"/>
              <w:start w:w="100" w:type="dxa"/>
              <w:bottom w:w="90" w:type="dxa"/>
              <w:end w:w="100" w:type="dxa"/>
            </w:tcMar>
          </w:tcPr>
          <w:p>
            <w:r>
              <w:rPr>
                <w:sz w:val="18"/>
              </w:rPr>
              <w:t>Resource scheduling</w:t>
            </w:r>
          </w:p>
        </w:tc>
        <w:tc>
          <w:tcPr>
            <w:tcW w:type="dxa" w:w="7704"/>
            <w:vAlign w:val="top"/>
            <w:tcMar>
              <w:top w:w="90" w:type="dxa"/>
              <w:start w:w="100" w:type="dxa"/>
              <w:bottom w:w="90" w:type="dxa"/>
              <w:end w:w="100" w:type="dxa"/>
            </w:tcMar>
          </w:tcPr>
          <w:p>
            <w:r>
              <w:rPr>
                <w:sz w:val="18"/>
              </w:rPr>
              <w:t>Insufficient RAM prevented a Flink pod from scheduling until CRC memory was increased.</w:t>
            </w:r>
          </w:p>
        </w:tc>
      </w:tr>
      <w:tr>
        <w:trPr>
          <w:cantSplit/>
        </w:trPr>
        <w:tc>
          <w:tcPr>
            <w:tcW w:type="dxa" w:w="2520"/>
            <w:shd w:fill="F3F6F9"/>
            <w:vAlign w:val="top"/>
            <w:tcMar>
              <w:top w:w="90" w:type="dxa"/>
              <w:start w:w="100" w:type="dxa"/>
              <w:bottom w:w="90" w:type="dxa"/>
              <w:end w:w="100" w:type="dxa"/>
            </w:tcMar>
          </w:tcPr>
          <w:p>
            <w:r>
              <w:rPr>
                <w:sz w:val="18"/>
              </w:rPr>
              <w:t>Disk pressure</w:t>
            </w:r>
          </w:p>
        </w:tc>
        <w:tc>
          <w:tcPr>
            <w:tcW w:type="dxa" w:w="7704"/>
            <w:shd w:fill="F3F6F9"/>
            <w:vAlign w:val="top"/>
            <w:tcMar>
              <w:top w:w="90" w:type="dxa"/>
              <w:start w:w="100" w:type="dxa"/>
              <w:bottom w:w="90" w:type="dxa"/>
              <w:end w:w="100" w:type="dxa"/>
            </w:tcMar>
          </w:tcPr>
          <w:p>
            <w:r>
              <w:rPr>
                <w:sz w:val="18"/>
              </w:rPr>
              <w:t>A node.kubernetes.io/disk-pressure taint blocked TaskManager scheduling even after RAM was sufficient.</w:t>
            </w:r>
          </w:p>
        </w:tc>
      </w:tr>
      <w:tr>
        <w:trPr>
          <w:cantSplit/>
        </w:trPr>
        <w:tc>
          <w:tcPr>
            <w:tcW w:type="dxa" w:w="2520"/>
            <w:vAlign w:val="top"/>
            <w:tcMar>
              <w:top w:w="90" w:type="dxa"/>
              <w:start w:w="100" w:type="dxa"/>
              <w:bottom w:w="90" w:type="dxa"/>
              <w:end w:w="100" w:type="dxa"/>
            </w:tcMar>
          </w:tcPr>
          <w:p>
            <w:r>
              <w:rPr>
                <w:sz w:val="18"/>
              </w:rPr>
              <w:t>Webhook dependency</w:t>
            </w:r>
          </w:p>
        </w:tc>
        <w:tc>
          <w:tcPr>
            <w:tcW w:type="dxa" w:w="7704"/>
            <w:vAlign w:val="top"/>
            <w:tcMar>
              <w:top w:w="90" w:type="dxa"/>
              <w:start w:w="100" w:type="dxa"/>
              <w:bottom w:w="90" w:type="dxa"/>
              <w:end w:w="100" w:type="dxa"/>
            </w:tcMar>
          </w:tcPr>
          <w:p>
            <w:r>
              <w:rPr>
                <w:sz w:val="18"/>
              </w:rPr>
              <w:t>Disabling webhook creation simplified the local POC where cert-manager was not being used.</w:t>
            </w:r>
          </w:p>
        </w:tc>
      </w:tr>
      <w:tr>
        <w:trPr>
          <w:cantSplit/>
        </w:trPr>
        <w:tc>
          <w:tcPr>
            <w:tcW w:type="dxa" w:w="2520"/>
            <w:shd w:fill="F3F6F9"/>
            <w:vAlign w:val="top"/>
            <w:tcMar>
              <w:top w:w="90" w:type="dxa"/>
              <w:start w:w="100" w:type="dxa"/>
              <w:bottom w:w="90" w:type="dxa"/>
              <w:end w:w="100" w:type="dxa"/>
            </w:tcMar>
          </w:tcPr>
          <w:p>
            <w:r>
              <w:rPr>
                <w:sz w:val="18"/>
              </w:rPr>
              <w:t>Service accounts</w:t>
            </w:r>
          </w:p>
        </w:tc>
        <w:tc>
          <w:tcPr>
            <w:tcW w:type="dxa" w:w="7704"/>
            <w:shd w:fill="F3F6F9"/>
            <w:vAlign w:val="top"/>
            <w:tcMar>
              <w:top w:w="90" w:type="dxa"/>
              <w:start w:w="100" w:type="dxa"/>
              <w:bottom w:w="90" w:type="dxa"/>
              <w:end w:w="100" w:type="dxa"/>
            </w:tcMar>
          </w:tcPr>
          <w:p>
            <w:r>
              <w:rPr>
                <w:sz w:val="18"/>
              </w:rPr>
              <w:t>Operator and Flink application workloads used different service accounts and therefore required separate permission analysis.</w:t>
            </w:r>
          </w:p>
        </w:tc>
      </w:tr>
      <w:tr>
        <w:trPr>
          <w:cantSplit/>
        </w:trPr>
        <w:tc>
          <w:tcPr>
            <w:tcW w:type="dxa" w:w="2520"/>
            <w:vAlign w:val="top"/>
            <w:tcMar>
              <w:top w:w="90" w:type="dxa"/>
              <w:start w:w="100" w:type="dxa"/>
              <w:bottom w:w="90" w:type="dxa"/>
              <w:end w:w="100" w:type="dxa"/>
            </w:tcMar>
          </w:tcPr>
          <w:p>
            <w:r>
              <w:rPr>
                <w:sz w:val="18"/>
              </w:rPr>
              <w:t>Operator vs workload lifecycle</w:t>
            </w:r>
          </w:p>
        </w:tc>
        <w:tc>
          <w:tcPr>
            <w:tcW w:type="dxa" w:w="7704"/>
            <w:vAlign w:val="top"/>
            <w:tcMar>
              <w:top w:w="90" w:type="dxa"/>
              <w:start w:w="100" w:type="dxa"/>
              <w:bottom w:w="90" w:type="dxa"/>
              <w:end w:w="100" w:type="dxa"/>
            </w:tcMar>
          </w:tcPr>
          <w:p>
            <w:r>
              <w:rPr>
                <w:sz w:val="18"/>
              </w:rPr>
              <w:t>The operator can be healthy while a JobManager/TaskManager is blocked by scheduling, storage, SCC, or runtime issues; both layers require monitoring.</w:t>
            </w:r>
          </w:p>
        </w:tc>
      </w:tr>
    </w:tbl>
    <w:p>
      <w:pPr>
        <w:pStyle w:val="Heading1"/>
      </w:pPr>
      <w:r>
        <w:t>10. Recommended Infra Installation Workflow</w:t>
      </w:r>
    </w:p>
    <w:p>
      <w:pPr>
        <w:spacing w:after="60"/>
        <w:ind w:left="0" w:firstLine="0"/>
      </w:pPr>
      <w:r>
        <w:rPr>
          <w:b w:val="0"/>
        </w:rPr>
        <w:t xml:space="preserve">1. </w:t>
      </w:r>
      <w:r>
        <w:t>Collect the completed developer intake template.</w:t>
      </w:r>
    </w:p>
    <w:p>
      <w:pPr>
        <w:spacing w:after="60"/>
        <w:ind w:left="0" w:firstLine="0"/>
      </w:pPr>
      <w:r>
        <w:rPr>
          <w:b w:val="0"/>
        </w:rPr>
        <w:t xml:space="preserve">2. </w:t>
      </w:r>
      <w:r>
        <w:t>Validate operator/Flink versions and approved image sources.</w:t>
      </w:r>
    </w:p>
    <w:p>
      <w:pPr>
        <w:spacing w:after="60"/>
        <w:ind w:left="0" w:firstLine="0"/>
      </w:pPr>
      <w:r>
        <w:rPr>
          <w:b w:val="0"/>
        </w:rPr>
        <w:t xml:space="preserve">3. </w:t>
      </w:r>
      <w:r>
        <w:t>Define operator namespace and exact watched namespaces.</w:t>
      </w:r>
    </w:p>
    <w:p>
      <w:pPr>
        <w:spacing w:after="60"/>
        <w:ind w:left="0" w:firstLine="0"/>
      </w:pPr>
      <w:r>
        <w:rPr>
          <w:b w:val="0"/>
        </w:rPr>
        <w:t xml:space="preserve">4. </w:t>
      </w:r>
      <w:r>
        <w:t>Review operator and application service-account RBAC separately.</w:t>
      </w:r>
    </w:p>
    <w:p>
      <w:pPr>
        <w:spacing w:after="60"/>
        <w:ind w:left="0" w:firstLine="0"/>
      </w:pPr>
      <w:r>
        <w:rPr>
          <w:b w:val="0"/>
        </w:rPr>
        <w:t xml:space="preserve">5. </w:t>
      </w:r>
      <w:r>
        <w:t>Validate SCC compatibility in a non-production namespace using restricted-v2 first.</w:t>
      </w:r>
    </w:p>
    <w:p>
      <w:pPr>
        <w:spacing w:after="60"/>
        <w:ind w:left="0" w:firstLine="0"/>
      </w:pPr>
      <w:r>
        <w:rPr>
          <w:b w:val="0"/>
        </w:rPr>
        <w:t xml:space="preserve">6. </w:t>
      </w:r>
      <w:r>
        <w:t>Approve any SCC exception only after documented justification.</w:t>
      </w:r>
    </w:p>
    <w:p>
      <w:pPr>
        <w:spacing w:after="60"/>
        <w:ind w:left="0" w:firstLine="0"/>
      </w:pPr>
      <w:r>
        <w:rPr>
          <w:b w:val="0"/>
        </w:rPr>
        <w:t xml:space="preserve">7. </w:t>
      </w:r>
      <w:r>
        <w:t>Confirm webhook/certificate-management design.</w:t>
      </w:r>
    </w:p>
    <w:p>
      <w:pPr>
        <w:spacing w:after="60"/>
        <w:ind w:left="0" w:firstLine="0"/>
      </w:pPr>
      <w:r>
        <w:rPr>
          <w:b w:val="0"/>
        </w:rPr>
        <w:t xml:space="preserve">8. </w:t>
      </w:r>
      <w:r>
        <w:t>Validate Kafka/storage/network paths and secrets.</w:t>
      </w:r>
    </w:p>
    <w:p>
      <w:pPr>
        <w:spacing w:after="60"/>
        <w:ind w:left="0" w:firstLine="0"/>
      </w:pPr>
      <w:r>
        <w:rPr>
          <w:b w:val="0"/>
        </w:rPr>
        <w:t xml:space="preserve">9. </w:t>
      </w:r>
      <w:r>
        <w:t>Confirm CPU/RAM/ephemeral-storage requests against cluster quotas and node capacity.</w:t>
      </w:r>
    </w:p>
    <w:p>
      <w:pPr>
        <w:spacing w:after="60"/>
        <w:ind w:left="0" w:firstLine="0"/>
      </w:pPr>
      <w:r>
        <w:rPr>
          <w:b w:val="0"/>
        </w:rPr>
        <w:t xml:space="preserve">10. </w:t>
      </w:r>
      <w:r>
        <w:t>Install in DEV, verify operator reconciliation and a simple test FlinkDeployment.</w:t>
      </w:r>
    </w:p>
    <w:p>
      <w:pPr>
        <w:spacing w:after="60"/>
        <w:ind w:left="0" w:firstLine="0"/>
      </w:pPr>
      <w:r>
        <w:rPr>
          <w:b w:val="0"/>
        </w:rPr>
        <w:t xml:space="preserve">11. </w:t>
      </w:r>
      <w:r>
        <w:t>Validate monitoring, failure handling, upgrade/rollback, and operational ownership before UAT/PROD rollout.</w:t>
      </w:r>
    </w:p>
    <w:p>
      <w:pPr>
        <w:pStyle w:val="Heading1"/>
      </w:pPr>
      <w:r>
        <w:t>11. Infra Sign-off Checklist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8"/>
            <w:vAlign w:val="center"/>
            <w:tcMar>
              <w:top w:w="90" w:type="dxa"/>
              <w:start w:w="100" w:type="dxa"/>
              <w:bottom w:w="90" w:type="dxa"/>
              <w:end w:w="100" w:type="dxa"/>
            </w:tcMar>
          </w:tcPr>
          <w:p>
            <w:pPr>
              <w:jc w:val="center"/>
            </w:pPr>
            <w:r>
              <w:rPr>
                <w:b/>
                <w:color w:val="FFFFFF"/>
                <w:sz w:val="19"/>
              </w:rPr>
              <w:t>Security / Platform</w:t>
            </w:r>
          </w:p>
        </w:tc>
        <w:tc>
          <w:tcPr>
            <w:tcW w:type="dxa" w:w="5112"/>
            <w:shd w:fill="1F4E78"/>
            <w:vAlign w:val="center"/>
            <w:tcMar>
              <w:top w:w="90" w:type="dxa"/>
              <w:start w:w="100" w:type="dxa"/>
              <w:bottom w:w="90" w:type="dxa"/>
              <w:end w:w="100" w:type="dxa"/>
            </w:tcMar>
          </w:tcPr>
          <w:p>
            <w:pPr>
              <w:jc w:val="center"/>
            </w:pPr>
            <w:r>
              <w:rPr>
                <w:b/>
                <w:color w:val="FFFFFF"/>
                <w:sz w:val="19"/>
              </w:rPr>
              <w:t>Operations / Runtime</w:t>
            </w:r>
          </w:p>
        </w:tc>
      </w:tr>
      <w:tr>
        <w:trPr>
          <w:cantSplit/>
        </w:trPr>
        <w:tc>
          <w:tcPr>
            <w:tcW w:type="dxa" w:w="5112"/>
            <w:vAlign w:val="top"/>
            <w:tcMar>
              <w:top w:w="90" w:type="dxa"/>
              <w:start w:w="100" w:type="dxa"/>
              <w:bottom w:w="90" w:type="dxa"/>
              <w:end w:w="100" w:type="dxa"/>
            </w:tcMar>
          </w:tcPr>
          <w:p>
            <w:r>
              <w:rPr>
                <w:sz w:val="18"/>
              </w:rPr>
              <w:t>☐ Version compatibility reviewed</w:t>
            </w:r>
          </w:p>
        </w:tc>
        <w:tc>
          <w:tcPr>
            <w:tcW w:type="dxa" w:w="5112"/>
            <w:vAlign w:val="top"/>
            <w:tcMar>
              <w:top w:w="90" w:type="dxa"/>
              <w:start w:w="100" w:type="dxa"/>
              <w:bottom w:w="90" w:type="dxa"/>
              <w:end w:w="100" w:type="dxa"/>
            </w:tcMar>
          </w:tcPr>
          <w:p>
            <w:r>
              <w:rPr>
                <w:sz w:val="18"/>
              </w:rPr>
              <w:t>☐ Namespace/watch scope approved</w:t>
            </w:r>
          </w:p>
        </w:tc>
      </w:tr>
      <w:tr>
        <w:trPr>
          <w:cantSplit/>
        </w:trPr>
        <w:tc>
          <w:tcPr>
            <w:tcW w:type="dxa" w:w="5112"/>
            <w:shd w:fill="F3F6F9"/>
            <w:vAlign w:val="top"/>
            <w:tcMar>
              <w:top w:w="90" w:type="dxa"/>
              <w:start w:w="100" w:type="dxa"/>
              <w:bottom w:w="90" w:type="dxa"/>
              <w:end w:w="100" w:type="dxa"/>
            </w:tcMar>
          </w:tcPr>
          <w:p>
            <w:r>
              <w:rPr>
                <w:sz w:val="18"/>
              </w:rPr>
              <w:t>☐ Operator SA approved</w:t>
            </w:r>
          </w:p>
        </w:tc>
        <w:tc>
          <w:tcPr>
            <w:tcW w:type="dxa" w:w="5112"/>
            <w:shd w:fill="F3F6F9"/>
            <w:vAlign w:val="top"/>
            <w:tcMar>
              <w:top w:w="90" w:type="dxa"/>
              <w:start w:w="100" w:type="dxa"/>
              <w:bottom w:w="90" w:type="dxa"/>
              <w:end w:w="100" w:type="dxa"/>
            </w:tcMar>
          </w:tcPr>
          <w:p>
            <w:r>
              <w:rPr>
                <w:sz w:val="18"/>
              </w:rPr>
              <w:t>☐ Application SA approved</w:t>
            </w:r>
          </w:p>
        </w:tc>
      </w:tr>
      <w:tr>
        <w:trPr>
          <w:cantSplit/>
        </w:trPr>
        <w:tc>
          <w:tcPr>
            <w:tcW w:type="dxa" w:w="5112"/>
            <w:vAlign w:val="top"/>
            <w:tcMar>
              <w:top w:w="90" w:type="dxa"/>
              <w:start w:w="100" w:type="dxa"/>
              <w:bottom w:w="90" w:type="dxa"/>
              <w:end w:w="100" w:type="dxa"/>
            </w:tcMar>
          </w:tcPr>
          <w:p>
            <w:r>
              <w:rPr>
                <w:sz w:val="18"/>
              </w:rPr>
              <w:t>☐ Least-privilege RBAC approved</w:t>
            </w:r>
          </w:p>
        </w:tc>
        <w:tc>
          <w:tcPr>
            <w:tcW w:type="dxa" w:w="5112"/>
            <w:vAlign w:val="top"/>
            <w:tcMar>
              <w:top w:w="90" w:type="dxa"/>
              <w:start w:w="100" w:type="dxa"/>
              <w:bottom w:w="90" w:type="dxa"/>
              <w:end w:w="100" w:type="dxa"/>
            </w:tcMar>
          </w:tcPr>
          <w:p>
            <w:r>
              <w:rPr>
                <w:sz w:val="18"/>
              </w:rPr>
              <w:t>☐ SCC/UID model approved</w:t>
            </w:r>
          </w:p>
        </w:tc>
      </w:tr>
      <w:tr>
        <w:trPr>
          <w:cantSplit/>
        </w:trPr>
        <w:tc>
          <w:tcPr>
            <w:tcW w:type="dxa" w:w="5112"/>
            <w:shd w:fill="F3F6F9"/>
            <w:vAlign w:val="top"/>
            <w:tcMar>
              <w:top w:w="90" w:type="dxa"/>
              <w:start w:w="100" w:type="dxa"/>
              <w:bottom w:w="90" w:type="dxa"/>
              <w:end w:w="100" w:type="dxa"/>
            </w:tcMar>
          </w:tcPr>
          <w:p>
            <w:r>
              <w:rPr>
                <w:sz w:val="18"/>
              </w:rPr>
              <w:t>☐ Webhook/cert-manager decision approved</w:t>
            </w:r>
          </w:p>
        </w:tc>
        <w:tc>
          <w:tcPr>
            <w:tcW w:type="dxa" w:w="5112"/>
            <w:shd w:fill="F3F6F9"/>
            <w:vAlign w:val="top"/>
            <w:tcMar>
              <w:top w:w="90" w:type="dxa"/>
              <w:start w:w="100" w:type="dxa"/>
              <w:bottom w:w="90" w:type="dxa"/>
              <w:end w:w="100" w:type="dxa"/>
            </w:tcMar>
          </w:tcPr>
          <w:p>
            <w:r>
              <w:rPr>
                <w:sz w:val="18"/>
              </w:rPr>
              <w:t>☐ Registry access tested</w:t>
            </w:r>
          </w:p>
        </w:tc>
      </w:tr>
      <w:tr>
        <w:trPr>
          <w:cantSplit/>
        </w:trPr>
        <w:tc>
          <w:tcPr>
            <w:tcW w:type="dxa" w:w="5112"/>
            <w:vAlign w:val="top"/>
            <w:tcMar>
              <w:top w:w="90" w:type="dxa"/>
              <w:start w:w="100" w:type="dxa"/>
              <w:bottom w:w="90" w:type="dxa"/>
              <w:end w:w="100" w:type="dxa"/>
            </w:tcMar>
          </w:tcPr>
          <w:p>
            <w:r>
              <w:rPr>
                <w:sz w:val="18"/>
              </w:rPr>
              <w:t>☐ Kafka/storage/network access tested</w:t>
            </w:r>
          </w:p>
        </w:tc>
        <w:tc>
          <w:tcPr>
            <w:tcW w:type="dxa" w:w="5112"/>
            <w:vAlign w:val="top"/>
            <w:tcMar>
              <w:top w:w="90" w:type="dxa"/>
              <w:start w:w="100" w:type="dxa"/>
              <w:bottom w:w="90" w:type="dxa"/>
              <w:end w:w="100" w:type="dxa"/>
            </w:tcMar>
          </w:tcPr>
          <w:p>
            <w:r>
              <w:rPr>
                <w:sz w:val="18"/>
              </w:rPr>
              <w:t>☐ Resource sizing approved</w:t>
            </w:r>
          </w:p>
        </w:tc>
      </w:tr>
      <w:tr>
        <w:trPr>
          <w:cantSplit/>
        </w:trPr>
        <w:tc>
          <w:tcPr>
            <w:tcW w:type="dxa" w:w="5112"/>
            <w:shd w:fill="F3F6F9"/>
            <w:vAlign w:val="top"/>
            <w:tcMar>
              <w:top w:w="90" w:type="dxa"/>
              <w:start w:w="100" w:type="dxa"/>
              <w:bottom w:w="90" w:type="dxa"/>
              <w:end w:w="100" w:type="dxa"/>
            </w:tcMar>
          </w:tcPr>
          <w:p>
            <w:r>
              <w:rPr>
                <w:sz w:val="18"/>
              </w:rPr>
              <w:t>☐ Monitoring/logging integrated</w:t>
            </w:r>
          </w:p>
        </w:tc>
        <w:tc>
          <w:tcPr>
            <w:tcW w:type="dxa" w:w="5112"/>
            <w:shd w:fill="F3F6F9"/>
            <w:vAlign w:val="top"/>
            <w:tcMar>
              <w:top w:w="90" w:type="dxa"/>
              <w:start w:w="100" w:type="dxa"/>
              <w:bottom w:w="90" w:type="dxa"/>
              <w:end w:w="100" w:type="dxa"/>
            </w:tcMar>
          </w:tcPr>
          <w:p>
            <w:r>
              <w:rPr>
                <w:sz w:val="18"/>
              </w:rPr>
              <w:t>☐ Upgrade/rollback ownership agreed</w:t>
            </w:r>
          </w:p>
        </w:tc>
      </w:tr>
    </w:tbl>
    <w:p>
      <w:pPr>
        <w:spacing w:before="200"/>
      </w:pPr>
      <w:r>
        <w:rPr>
          <w:b/>
          <w:color w:val="1F4E79"/>
        </w:rPr>
        <w:t xml:space="preserve">Recommended default posture: </w:t>
      </w:r>
      <w:r>
        <w:t>namespace-scoped watch access, restricted-v2-compatible images, dedicated service accounts, least-privilege RBAC, explicit webhook/certificate decision, and documented external dependencies.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Infrastructure Review Guide | OpenShift / Kubernetes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Apache Flink Kubernetes Operator - Infrastructure Onboarding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ind w:left="216" w:right="216"/>
      <w:shd w:fill="F2F2F2"/>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Apache Flink Kubernetes Operator - Developer Questionnaire and Infrastructure Permissions</dc:title>
  <dc:subject>OpenShift/Kubernetes infrastructure onboarding and approval checklist for Flink Kubernetes Operator</dc:subject>
  <dc:creator>OpenAI</dc:creator>
  <cp:keywords>Apache Flink, Kubernetes Operator, OpenShift, SCC, RBAC, cert-manager, infrastructure</cp:keywords>
  <dc:description>generated by python-docx</dc:description>
  <cp:lastModifiedBy/>
  <cp:revision>1</cp:revision>
  <dcterms:created xsi:type="dcterms:W3CDTF">2013-12-23T23:15:00Z</dcterms:created>
  <dcterms:modified xsi:type="dcterms:W3CDTF">2013-12-23T23:15:00Z</dcterms:modified>
  <cp:category/>
</cp:coreProperties>
</file>