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9F5B" w14:textId="77777777" w:rsidR="00F0398A" w:rsidRDefault="00000000">
      <w:pPr>
        <w:jc w:val="right"/>
      </w:pPr>
      <w:r>
        <w:rPr>
          <w:rFonts w:ascii="Calibri" w:eastAsia="Calibri" w:hAnsi="Calibri" w:cs="Calibri"/>
          <w:sz w:val="24"/>
          <w:szCs w:val="24"/>
        </w:rPr>
        <w:t>Date: 17.08.2026</w:t>
      </w:r>
    </w:p>
    <w:p w14:paraId="3BDC0980" w14:textId="77777777" w:rsidR="00F0398A" w:rsidRPr="003E14CA" w:rsidRDefault="00000000">
      <w:pPr>
        <w:jc w:val="center"/>
        <w:rPr>
          <w:sz w:val="24"/>
          <w:szCs w:val="24"/>
        </w:rPr>
      </w:pPr>
      <w:r w:rsidRPr="003E14CA">
        <w:rPr>
          <w:rFonts w:ascii="Calibri" w:eastAsia="Calibri" w:hAnsi="Calibri" w:cs="Calibri"/>
          <w:b/>
          <w:bCs/>
          <w:sz w:val="32"/>
          <w:szCs w:val="32"/>
          <w:u w:val="single"/>
        </w:rPr>
        <w:t>Review- 1</w:t>
      </w:r>
    </w:p>
    <w:p w14:paraId="03654A20" w14:textId="77777777" w:rsidR="00F0398A" w:rsidRDefault="00F0398A"/>
    <w:p w14:paraId="794ABD83" w14:textId="38B2EEDA" w:rsidR="008843ED" w:rsidRDefault="00000000" w:rsidP="008843ED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Students should download research papers relevant to their chosen concept/title from </w:t>
      </w:r>
      <w:r>
        <w:rPr>
          <w:rFonts w:ascii="Calibri" w:eastAsia="Calibri" w:hAnsi="Calibri" w:cs="Calibri"/>
          <w:b/>
          <w:bCs/>
          <w:sz w:val="24"/>
          <w:szCs w:val="24"/>
        </w:rPr>
        <w:t>Scopus</w:t>
      </w:r>
      <w:r>
        <w:rPr>
          <w:rFonts w:ascii="Calibri" w:eastAsia="Calibri" w:hAnsi="Calibri" w:cs="Calibri"/>
          <w:sz w:val="24"/>
          <w:szCs w:val="24"/>
        </w:rPr>
        <w:t xml:space="preserve"> and </w:t>
      </w:r>
      <w:r>
        <w:rPr>
          <w:rFonts w:ascii="Calibri" w:eastAsia="Calibri" w:hAnsi="Calibri" w:cs="Calibri"/>
          <w:b/>
          <w:bCs/>
          <w:sz w:val="24"/>
          <w:szCs w:val="24"/>
        </w:rPr>
        <w:t>Web of Science (WoS)</w:t>
      </w:r>
      <w:r>
        <w:rPr>
          <w:rFonts w:ascii="Calibri" w:eastAsia="Calibri" w:hAnsi="Calibri" w:cs="Calibri"/>
          <w:sz w:val="24"/>
          <w:szCs w:val="24"/>
        </w:rPr>
        <w:t xml:space="preserve"> indexed databases. Only downloadable, full-text </w:t>
      </w:r>
      <w:r>
        <w:rPr>
          <w:rFonts w:ascii="Calibri" w:eastAsia="Calibri" w:hAnsi="Calibri" w:cs="Calibri"/>
          <w:b/>
          <w:bCs/>
          <w:sz w:val="24"/>
          <w:szCs w:val="24"/>
        </w:rPr>
        <w:t>journal papers</w:t>
      </w:r>
      <w:r>
        <w:rPr>
          <w:rFonts w:ascii="Calibri" w:eastAsia="Calibri" w:hAnsi="Calibri" w:cs="Calibri"/>
          <w:sz w:val="24"/>
          <w:szCs w:val="24"/>
        </w:rPr>
        <w:t xml:space="preserve"> published </w:t>
      </w:r>
      <w:r w:rsidR="005A30BD">
        <w:rPr>
          <w:rFonts w:ascii="Calibri" w:eastAsia="Calibri" w:hAnsi="Calibri" w:cs="Calibri"/>
          <w:b/>
          <w:bCs/>
          <w:sz w:val="24"/>
          <w:szCs w:val="24"/>
        </w:rPr>
        <w:t>from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202</w:t>
      </w:r>
      <w:r w:rsidR="005A30BD">
        <w:rPr>
          <w:rFonts w:ascii="Calibri" w:eastAsia="Calibri" w:hAnsi="Calibri" w:cs="Calibri"/>
          <w:b/>
          <w:bCs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 and directly related to your proposed concept should be selected.</w:t>
      </w:r>
    </w:p>
    <w:p w14:paraId="5FD950D7" w14:textId="42E8D546" w:rsidR="00F0398A" w:rsidRDefault="00000000" w:rsidP="008843ED">
      <w:pPr>
        <w:ind w:firstLine="720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 Ensure that a valid, working downloadable link is available for each paper, and that the dataset, methodology, and limitations discussed in each paper are clearly identifiable, as these will be tabulated below.</w:t>
      </w:r>
    </w:p>
    <w:p w14:paraId="2EFF302F" w14:textId="77777777" w:rsidR="00F0398A" w:rsidRDefault="00F0398A"/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1405"/>
        <w:gridCol w:w="1415"/>
        <w:gridCol w:w="1530"/>
        <w:gridCol w:w="1296"/>
        <w:gridCol w:w="1170"/>
        <w:gridCol w:w="1545"/>
        <w:gridCol w:w="1220"/>
      </w:tblGrid>
      <w:tr w:rsidR="008843ED" w14:paraId="5B093D99" w14:textId="77777777" w:rsidTr="00D4624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83A04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22"/>
              </w:rPr>
              <w:t>S.No</w:t>
            </w:r>
          </w:p>
        </w:tc>
        <w:tc>
          <w:tcPr>
            <w:tcW w:w="0" w:type="auto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6751B" w14:textId="5CD3675F" w:rsidR="008843ED" w:rsidRDefault="00CC003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22"/>
              </w:rPr>
              <w:t xml:space="preserve">Name of the paper and </w:t>
            </w:r>
            <w:r w:rsidR="008843ED"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22"/>
              </w:rPr>
              <w:t>Authors</w:t>
            </w:r>
          </w:p>
        </w:tc>
        <w:tc>
          <w:tcPr>
            <w:tcW w:w="1415" w:type="dxa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77BDA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22"/>
              </w:rPr>
              <w:t>Year of Publication</w:t>
            </w:r>
          </w:p>
        </w:tc>
        <w:tc>
          <w:tcPr>
            <w:tcW w:w="1530" w:type="dxa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73B86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22"/>
              </w:rPr>
              <w:t>Downloadable Link</w:t>
            </w:r>
          </w:p>
        </w:tc>
        <w:tc>
          <w:tcPr>
            <w:tcW w:w="850" w:type="dxa"/>
            <w:shd w:val="clear" w:color="auto" w:fill="8B1E1E"/>
          </w:tcPr>
          <w:p w14:paraId="39842345" w14:textId="06178E9B" w:rsidR="008843ED" w:rsidRDefault="008843ED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22"/>
              </w:rPr>
              <w:t>Journal Name/Scopus or Web of Science</w:t>
            </w:r>
          </w:p>
        </w:tc>
        <w:tc>
          <w:tcPr>
            <w:tcW w:w="1170" w:type="dxa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38201" w14:textId="5669F260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22"/>
              </w:rPr>
              <w:t>Dataset Used</w:t>
            </w:r>
          </w:p>
        </w:tc>
        <w:tc>
          <w:tcPr>
            <w:tcW w:w="0" w:type="auto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F6A28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22"/>
              </w:rPr>
              <w:t>Methodology Used</w:t>
            </w:r>
          </w:p>
        </w:tc>
        <w:tc>
          <w:tcPr>
            <w:tcW w:w="0" w:type="auto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85BDE" w14:textId="77777777" w:rsidR="008843ED" w:rsidRDefault="008843E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22"/>
              </w:rPr>
              <w:t>Limitations</w:t>
            </w:r>
          </w:p>
        </w:tc>
      </w:tr>
      <w:tr w:rsidR="008843ED" w14:paraId="56ABD692" w14:textId="77777777" w:rsidTr="00D462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Blind Spot Detection Radar System Design for Safe Driving of Smart Vehicles — Wantae Kim, Heejin Yang, Jinhong Kim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2023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https://doi.org/10.3390/app13106147</w:t>
            </w:r>
          </w:p>
        </w:tc>
        <w:tc>
          <w:tcPr>
            <w:tcW w:w="850" w:type="dxa"/>
            <w:vAlign w:val="top"/>
          </w:tcPr>
          <w:p>
            <w:r>
              <w:rPr>
                <w:sz w:val="15"/>
              </w:rPr>
              <w:t>Applied Sciences (MDPI) — Scopus &amp; Web of Science (SCIE)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No public benchmark dataset reported. Simulation data and custom real-world vehicle tests using the developed BSD radar system.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FMCW radar; ADC; 1D/2D FFT; range-Doppler mapping; peak detection; angle estimation; target sorting and tracking; α-β / α-β-γ tracking filters; custom antenna and modem design; vehicle-level testing.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Complex driving environments make multi-target prioritization difficult. Equal tracking time for all targets can cause tracking failures. The paper identifies AI-based target prioritization as future work.</w:t>
            </w:r>
          </w:p>
        </w:tc>
      </w:tr>
      <w:tr w:rsidR="008843ED" w14:paraId="034DA452" w14:textId="77777777" w:rsidTr="00D462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Blind-Spot Monitoring System using Lidar — Kuldeep S. Pawar, Shivanand N. Teli, Prasad Shetye, Saukshit Shetty, Vedant Satam, Atul Sahani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2022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https://doi.org/10.1007/s40032-022-00856-2</w:t>
            </w:r>
          </w:p>
        </w:tc>
        <w:tc>
          <w:tcPr>
            <w:tcW w:w="850" w:type="dxa"/>
            <w:vAlign w:val="top"/>
          </w:tcPr>
          <w:p>
            <w:r>
              <w:rPr>
                <w:sz w:val="15"/>
              </w:rPr>
              <w:t>Journal of The Institution of Engineers (India): Series C — Scopus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No public benchmark dataset reported. Results were obtained from on-road tests in regular traffic using the developed LiDAR prototype.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Retrofittable wireless BSD using TF-Luna LiDAR, Arduino UNO, HC-05 Bluetooth and BLiM mobile application. Distance-based detection with LED and buzzer alerts. Real-time on-road testing.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Additional sensors are needed to cover different blind-spot zones. The approach is mainly distance-based and does not provide the richer range/velocity/angle information available from FMCW radar. Testing was limited to the developed prototype and reported scenarios.</w:t>
            </w:r>
          </w:p>
        </w:tc>
      </w:tr>
      <w:tr w:rsidR="008843ED" w14:paraId="1544A40D" w14:textId="77777777" w:rsidTr="00D462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A Multi-Scale Mask Convolution-Based Blind-Spot Network for Hyperspectral Anomaly Detection — Zhiwei Yang, Rui Zhao, Xiangchao Meng, Gang Yang, Weiwei Sun, Shenfu Zhang, Jinghui Li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2024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https://doi.org/10.3390/rs16163036</w:t>
            </w:r>
          </w:p>
        </w:tc>
        <w:tc>
          <w:tcPr>
            <w:tcW w:w="850" w:type="dxa"/>
            <w:vAlign w:val="top"/>
          </w:tcPr>
          <w:p>
            <w:r>
              <w:rPr>
                <w:sz w:val="15"/>
              </w:rPr>
              <w:t>Remote Sensing (MDPI) — Scopus &amp; Web of Science (SCIE)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Four real hyperspectral datasets: Pavia, Gainesville, San Diego-1 and Gulfport. Sensors include ROSIS-03 and AVIRIS.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Multi-scale blind-spot convolution; dynamic fusion; spatial-spectral joint module; background feature attention; pixel-shuffle down-sampling; spatial-spectral screening; self-supervised hyperspectral anomaly detection; comparison with nine state-of-the-art methods.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r>
              <w:rPr>
                <w:sz w:val="15"/>
              </w:rPr>
              <w:t>This paper addresses hyperspectral anomaly detection rather than automotive blind-spot detection. Its datasets are hyperspectral images, not automotive radar/LiDAR data, so direct transfer to vehicle BSD is not established.</w:t>
            </w:r>
          </w:p>
        </w:tc>
      </w:tr>
      <w:tr w:rsidR="008843ED" w14:paraId="3315BD85" w14:textId="77777777" w:rsidTr="00D462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</w:tr>
      <w:tr w:rsidR="008843ED" w14:paraId="4AE1CAC5" w14:textId="77777777" w:rsidTr="00D462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</w:tr>
      <w:tr w:rsidR="008843ED" w14:paraId="78111CC6" w14:textId="77777777" w:rsidTr="00D462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</w:tr>
      <w:tr w:rsidR="008843ED" w14:paraId="6D2506CD" w14:textId="77777777" w:rsidTr="00D462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</w:tr>
      <w:tr w:rsidR="008843ED" w14:paraId="155995CA" w14:textId="77777777" w:rsidTr="00D462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</w:p>
        </w:tc>
      </w:tr>
    </w:tbl>
    <w:p w14:paraId="28D435F5" w14:textId="77777777" w:rsidR="00F0398A" w:rsidRDefault="00F0398A"/>
    <w:p w14:paraId="6C839320" w14:textId="77777777" w:rsidR="008843ED" w:rsidRDefault="008843ED" w:rsidP="008843ED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026CE18" w14:textId="76D04A70" w:rsidR="00F0398A" w:rsidRDefault="00000000" w:rsidP="008843ED">
      <w:pPr>
        <w:ind w:firstLine="720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Based on the datasets, methodologies, and limitations identified from the reviewed literature above, students should clearly articulate how their </w:t>
      </w:r>
      <w:r>
        <w:rPr>
          <w:rFonts w:ascii="Calibri" w:eastAsia="Calibri" w:hAnsi="Calibri" w:cs="Calibri"/>
          <w:b/>
          <w:bCs/>
          <w:sz w:val="24"/>
          <w:szCs w:val="24"/>
        </w:rPr>
        <w:t>proposed system</w:t>
      </w:r>
      <w:r>
        <w:rPr>
          <w:rFonts w:ascii="Calibri" w:eastAsia="Calibri" w:hAnsi="Calibri" w:cs="Calibri"/>
          <w:sz w:val="24"/>
          <w:szCs w:val="24"/>
        </w:rPr>
        <w:t xml:space="preserve"> differs from and improves upon the existing approaches. This justification should explicitly address the </w:t>
      </w:r>
      <w:r>
        <w:rPr>
          <w:rFonts w:ascii="Calibri" w:eastAsia="Calibri" w:hAnsi="Calibri" w:cs="Calibri"/>
          <w:b/>
          <w:bCs/>
          <w:sz w:val="24"/>
          <w:szCs w:val="24"/>
        </w:rPr>
        <w:t>novelty</w:t>
      </w:r>
      <w:r>
        <w:rPr>
          <w:rFonts w:ascii="Calibri" w:eastAsia="Calibri" w:hAnsi="Calibri" w:cs="Calibri"/>
          <w:sz w:val="24"/>
          <w:szCs w:val="24"/>
        </w:rPr>
        <w:t xml:space="preserve"> of the proposed work by describing which limitations of the existing methods/datasets are being overcome, what new dataset(s) or methodology are being introduced or adapted, and why the proposed approach is expected to perform better or offer a meaningful contribution over the reviewed papers.</w:t>
      </w:r>
      <w:r w:rsidR="00D46247">
        <w:rPr>
          <w:rFonts w:ascii="Calibri" w:eastAsia="Calibri" w:hAnsi="Calibri" w:cs="Calibri"/>
          <w:sz w:val="24"/>
          <w:szCs w:val="24"/>
        </w:rPr>
        <w:t xml:space="preserve"> </w:t>
      </w:r>
      <w:r w:rsidR="00D46247" w:rsidRPr="00D46247">
        <w:rPr>
          <w:rFonts w:ascii="Calibri" w:eastAsia="Calibri" w:hAnsi="Calibri" w:cs="Calibri"/>
          <w:b/>
          <w:bCs/>
          <w:sz w:val="24"/>
          <w:szCs w:val="24"/>
        </w:rPr>
        <w:t>(POINT WISE)</w:t>
      </w:r>
    </w:p>
    <w:p>
      <w:r>
        <w:rPr>
          <w:b/>
          <w:sz w:val="24"/>
        </w:rPr>
        <w:t>Proposed System Novelty and Improvement (Point Wise)</w:t>
      </w:r>
    </w:p>
    <w:p>
      <w:pPr>
        <w:spacing w:after="60"/>
      </w:pPr>
      <w:r>
        <w:rPr>
          <w:sz w:val="20"/>
        </w:rPr>
        <w:t>1. Use FMCW radar as the primary sensing technology to obtain range, relative velocity and angle information for moving vehicles.</w:t>
      </w:r>
    </w:p>
    <w:p>
      <w:pPr>
        <w:spacing w:after="60"/>
      </w:pPr>
      <w:r>
        <w:rPr>
          <w:sz w:val="20"/>
        </w:rPr>
        <w:t>2. Add AI-based threat assessment to address the target-prioritization limitation identified in the FMCW radar paper.</w:t>
      </w:r>
    </w:p>
    <w:p>
      <w:pPr>
        <w:spacing w:after="60"/>
      </w:pPr>
      <w:r>
        <w:rPr>
          <w:sz w:val="20"/>
        </w:rPr>
        <w:t>3. Adapt a public automotive radar dataset such as RadarScenes and generate left/right blind-spot labels from object position, velocity and tracking information.</w:t>
      </w:r>
    </w:p>
    <w:p>
      <w:pPr>
        <w:spacing w:after="60"/>
      </w:pPr>
      <w:r>
        <w:rPr>
          <w:sz w:val="20"/>
        </w:rPr>
        <w:t>4. Implement multi-target prioritization using distance, relative velocity, position and estimated collision risk.</w:t>
      </w:r>
    </w:p>
    <w:p>
      <w:pPr>
        <w:spacing w:after="60"/>
      </w:pPr>
      <w:r>
        <w:rPr>
          <w:sz w:val="20"/>
        </w:rPr>
        <w:t>5. Include Time-to-Collision (TTC) as an additional feature so approaching vehicles can be assigned a higher risk level.</w:t>
      </w:r>
    </w:p>
    <w:p>
      <w:pPr>
        <w:spacing w:after="60"/>
      </w:pPr>
      <w:r>
        <w:rPr>
          <w:sz w:val="20"/>
        </w:rPr>
        <w:t>6. Extend the system with camera-radar sensor fusion: radar provides range/velocity/angle while the camera provides visual object classification.</w:t>
      </w:r>
    </w:p>
    <w:p>
      <w:pPr>
        <w:spacing w:after="60"/>
      </w:pPr>
      <w:r>
        <w:rPr>
          <w:sz w:val="20"/>
        </w:rPr>
        <w:t>7. Monitor both left and right blind-spot zones, addressing the LiDAR paper's observation that additional sensors may be needed for wider coverage.</w:t>
      </w:r>
    </w:p>
    <w:p>
      <w:pPr>
        <w:spacing w:after="60"/>
      </w:pPr>
      <w:r>
        <w:rPr>
          <w:sz w:val="20"/>
        </w:rPr>
        <w:t>8. Provide real-time visual/audio driver warnings based on the calculated risk level.</w:t>
      </w:r>
    </w:p>
    <w:p>
      <w:pPr>
        <w:spacing w:after="60"/>
      </w:pPr>
      <w:r>
        <w:rPr>
          <w:sz w:val="20"/>
        </w:rPr>
        <w:t>9. Maintain a clear automotive focus: the third paper's 'blind-spot network' is for hyperspectral anomaly detection and is not an automotive BSD system.</w:t>
      </w:r>
    </w:p>
    <w:p>
      <w:pPr>
        <w:spacing w:after="60"/>
      </w:pPr>
      <w:r>
        <w:rPr>
          <w:sz w:val="20"/>
        </w:rPr>
        <w:t>10. Expected contribution: combine FMCW radar sensing, target tracking, blind-spot zoning and AI-based threat prioritization to improve reliability in multi-target driving situations.</w:t>
      </w:r>
    </w:p>
    <w:p>
      <w:r>
        <w:rPr>
          <w:sz w:val="18"/>
        </w:rPr>
        <w:t>Note: The three papers are from journals indexed in Scopus. Applied Sciences and Remote Sensing are also indexed in Web of Science SCIE. DOI links above provide the paper access pages.</w:t>
      </w:r>
    </w:p>
    <w:sectPr w:rsidR="00F0398A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13823" w14:textId="77777777" w:rsidR="00ED7365" w:rsidRDefault="00ED7365">
      <w:r>
        <w:separator/>
      </w:r>
    </w:p>
  </w:endnote>
  <w:endnote w:type="continuationSeparator" w:id="0">
    <w:p w14:paraId="310A3D5C" w14:textId="77777777" w:rsidR="00ED7365" w:rsidRDefault="00ED7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169DD" w14:textId="77777777" w:rsidR="00ED7365" w:rsidRDefault="00ED7365">
      <w:r>
        <w:separator/>
      </w:r>
    </w:p>
  </w:footnote>
  <w:footnote w:type="continuationSeparator" w:id="0">
    <w:p w14:paraId="044A33C0" w14:textId="77777777" w:rsidR="00ED7365" w:rsidRDefault="00ED7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80220" w14:textId="77777777" w:rsidR="00F0398A" w:rsidRDefault="00000000">
    <w:r>
      <w:rPr>
        <w:noProof/>
      </w:rPr>
      <w:drawing>
        <wp:inline distT="0" distB="0" distL="0" distR="0" wp14:anchorId="691FBE42" wp14:editId="01D2E0D1">
          <wp:extent cx="4295775" cy="476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3D86"/>
    <w:multiLevelType w:val="hybridMultilevel"/>
    <w:tmpl w:val="0442BEDC"/>
    <w:lvl w:ilvl="0" w:tplc="A57E5B00">
      <w:start w:val="1"/>
      <w:numFmt w:val="bullet"/>
      <w:lvlText w:val="●"/>
      <w:lvlJc w:val="left"/>
      <w:pPr>
        <w:ind w:left="720" w:hanging="360"/>
      </w:pPr>
    </w:lvl>
    <w:lvl w:ilvl="1" w:tplc="7E9482A2">
      <w:start w:val="1"/>
      <w:numFmt w:val="bullet"/>
      <w:lvlText w:val="○"/>
      <w:lvlJc w:val="left"/>
      <w:pPr>
        <w:ind w:left="1440" w:hanging="360"/>
      </w:pPr>
    </w:lvl>
    <w:lvl w:ilvl="2" w:tplc="E47AA544">
      <w:start w:val="1"/>
      <w:numFmt w:val="bullet"/>
      <w:lvlText w:val="■"/>
      <w:lvlJc w:val="left"/>
      <w:pPr>
        <w:ind w:left="2160" w:hanging="360"/>
      </w:pPr>
    </w:lvl>
    <w:lvl w:ilvl="3" w:tplc="B7A82B0A">
      <w:start w:val="1"/>
      <w:numFmt w:val="bullet"/>
      <w:lvlText w:val="●"/>
      <w:lvlJc w:val="left"/>
      <w:pPr>
        <w:ind w:left="2880" w:hanging="360"/>
      </w:pPr>
    </w:lvl>
    <w:lvl w:ilvl="4" w:tplc="ACAA7D52">
      <w:start w:val="1"/>
      <w:numFmt w:val="bullet"/>
      <w:lvlText w:val="○"/>
      <w:lvlJc w:val="left"/>
      <w:pPr>
        <w:ind w:left="3600" w:hanging="360"/>
      </w:pPr>
    </w:lvl>
    <w:lvl w:ilvl="5" w:tplc="3200A460">
      <w:start w:val="1"/>
      <w:numFmt w:val="bullet"/>
      <w:lvlText w:val="■"/>
      <w:lvlJc w:val="left"/>
      <w:pPr>
        <w:ind w:left="4320" w:hanging="360"/>
      </w:pPr>
    </w:lvl>
    <w:lvl w:ilvl="6" w:tplc="8A042518">
      <w:start w:val="1"/>
      <w:numFmt w:val="bullet"/>
      <w:lvlText w:val="●"/>
      <w:lvlJc w:val="left"/>
      <w:pPr>
        <w:ind w:left="5040" w:hanging="360"/>
      </w:pPr>
    </w:lvl>
    <w:lvl w:ilvl="7" w:tplc="58C4DCBE">
      <w:start w:val="1"/>
      <w:numFmt w:val="bullet"/>
      <w:lvlText w:val="●"/>
      <w:lvlJc w:val="left"/>
      <w:pPr>
        <w:ind w:left="5760" w:hanging="360"/>
      </w:pPr>
    </w:lvl>
    <w:lvl w:ilvl="8" w:tplc="F8EC2ED2">
      <w:start w:val="1"/>
      <w:numFmt w:val="bullet"/>
      <w:lvlText w:val="●"/>
      <w:lvlJc w:val="left"/>
      <w:pPr>
        <w:ind w:left="6480" w:hanging="360"/>
      </w:pPr>
    </w:lvl>
  </w:abstractNum>
  <w:num w:numId="1" w16cid:durableId="1825003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8A"/>
    <w:rsid w:val="00110590"/>
    <w:rsid w:val="003E14CA"/>
    <w:rsid w:val="005A30BD"/>
    <w:rsid w:val="008843ED"/>
    <w:rsid w:val="00CC0031"/>
    <w:rsid w:val="00D46247"/>
    <w:rsid w:val="00ED7365"/>
    <w:rsid w:val="00F0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ACA9"/>
  <w15:docId w15:val="{B2B8DA32-1880-4098-BE79-4FFCA64C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 vojjala</cp:lastModifiedBy>
  <cp:revision>7</cp:revision>
  <dcterms:created xsi:type="dcterms:W3CDTF">2026-08-17T09:23:00Z</dcterms:created>
  <dcterms:modified xsi:type="dcterms:W3CDTF">2026-08-17T09:30:00Z</dcterms:modified>
</cp:coreProperties>
</file>