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6EDA" w14:textId="77777777" w:rsidR="00B02174" w:rsidRDefault="00FB2408">
      <w:pPr>
        <w:spacing w:after="160"/>
      </w:pPr>
      <w:proofErr w:type="spellStart"/>
      <w:r>
        <w:rPr>
          <w:b/>
          <w:bCs/>
          <w:sz w:val="32"/>
          <w:szCs w:val="32"/>
        </w:rPr>
        <w:t>FinSight</w:t>
      </w:r>
      <w:proofErr w:type="spellEnd"/>
      <w:r>
        <w:rPr>
          <w:b/>
          <w:bCs/>
          <w:sz w:val="32"/>
          <w:szCs w:val="32"/>
        </w:rPr>
        <w:t>: Enterprise Credit Risk Analytics &amp; Automated Loan Underwriting Engine</w:t>
      </w:r>
    </w:p>
    <w:p w14:paraId="407166E1" w14:textId="63B5491C" w:rsidR="00B02174" w:rsidRDefault="00733B6C">
      <w:pPr>
        <w:spacing w:after="40"/>
      </w:pPr>
      <w:r w:rsidRPr="00733B6C">
        <w:rPr>
          <w:sz w:val="22"/>
          <w:szCs w:val="22"/>
        </w:rPr>
        <w:t>Rajendra</w:t>
      </w:r>
      <w:r w:rsidR="00FB2408">
        <w:rPr>
          <w:sz w:val="22"/>
          <w:szCs w:val="22"/>
        </w:rPr>
        <w:t>,</w:t>
      </w:r>
      <w:r>
        <w:rPr>
          <w:sz w:val="22"/>
          <w:szCs w:val="22"/>
        </w:rPr>
        <w:t xml:space="preserve"> </w:t>
      </w:r>
      <w:r w:rsidRPr="00733B6C">
        <w:rPr>
          <w:sz w:val="22"/>
          <w:szCs w:val="22"/>
        </w:rPr>
        <w:t>Mallikarjun</w:t>
      </w:r>
      <w:r w:rsidR="00FB2408">
        <w:rPr>
          <w:sz w:val="22"/>
          <w:szCs w:val="22"/>
        </w:rPr>
        <w:t xml:space="preserve">, </w:t>
      </w:r>
      <w:r w:rsidRPr="00733B6C">
        <w:rPr>
          <w:sz w:val="22"/>
          <w:szCs w:val="22"/>
        </w:rPr>
        <w:t>Praveen</w:t>
      </w:r>
    </w:p>
    <w:p w14:paraId="59849CBB" w14:textId="24DD1F73" w:rsidR="00B02174" w:rsidRDefault="00FB2408">
      <w:pPr>
        <w:spacing w:after="200"/>
      </w:pPr>
      <w:r>
        <w:t xml:space="preserve">Department of Computer Science and Engineering, </w:t>
      </w:r>
      <w:r w:rsidR="00733B6C" w:rsidRPr="00733B6C">
        <w:t>KLH University</w:t>
      </w:r>
      <w:r>
        <w:t>,</w:t>
      </w:r>
      <w:r>
        <w:t xml:space="preserve"> </w:t>
      </w:r>
      <w:r w:rsidR="00733B6C" w:rsidRPr="00733B6C">
        <w:t>Hyderabad</w:t>
      </w:r>
      <w:r>
        <w:t xml:space="preserve">, </w:t>
      </w:r>
      <w:r>
        <w:t>India</w:t>
      </w:r>
    </w:p>
    <w:p w14:paraId="4F7D875A" w14:textId="77777777" w:rsidR="00B02174" w:rsidRDefault="00FB2408">
      <w:pPr>
        <w:spacing w:after="160"/>
        <w:jc w:val="both"/>
      </w:pPr>
      <w:r>
        <w:rPr>
          <w:b/>
          <w:bCs/>
        </w:rPr>
        <w:t>Abstract—</w:t>
      </w:r>
      <w:r>
        <w:t xml:space="preserve">Credit risk assessment and loan underwriting are central functions of banks, non-banking financial companies (NBFCs), and digital lending platforms, directly affecting loan approval speed and portfolio-level default risk. Traditional underwriting relies on manual review of credit bureau reports and static eligibility rules, which is slow, inconsistent across reviewers, and difficult to scale as application volumes grow. This paper presents the design of </w:t>
      </w:r>
      <w:proofErr w:type="spellStart"/>
      <w:r>
        <w:t>FinSight</w:t>
      </w:r>
      <w:proofErr w:type="spellEnd"/>
      <w:r>
        <w:t>, an Enterprise Credit Risk Analytics and Auto</w:t>
      </w:r>
      <w:r>
        <w:t xml:space="preserve">mated Loan Underwriting Engine that integrates data ingestion, feature engineering, machine-learning-based risk scoring, automated policy-based decisioning, and model explainability into a single modular pipeline. The proposed system is motivated by recent research on machine learning for credit scoring using </w:t>
      </w:r>
      <w:proofErr w:type="spellStart"/>
      <w:r>
        <w:t>behavioral</w:t>
      </w:r>
      <w:proofErr w:type="spellEnd"/>
      <w:r>
        <w:t xml:space="preserve"> and transactional data, explainable AI for regulated lending decisions, benchmarking of ensemble and deep-learning models for default prediction, and structured-data frameworks for credit ri</w:t>
      </w:r>
      <w:r>
        <w:t xml:space="preserve">sk assessment. </w:t>
      </w:r>
      <w:proofErr w:type="spellStart"/>
      <w:r>
        <w:t>FinSight</w:t>
      </w:r>
      <w:proofErr w:type="spellEnd"/>
      <w:r>
        <w:t xml:space="preserve"> emphasizes transparent and auditable risk decisions, configurable lending policy, and portfolio-level monitoring suitable for banks, NBFCs, and fintech lenders.</w:t>
      </w:r>
    </w:p>
    <w:p w14:paraId="1DBE643C" w14:textId="77777777" w:rsidR="00B02174" w:rsidRDefault="00FB2408">
      <w:pPr>
        <w:spacing w:after="60"/>
      </w:pPr>
      <w:r>
        <w:rPr>
          <w:i/>
          <w:iCs/>
        </w:rPr>
        <w:t>Keywords—Credit Risk Analytics, Loan Underwriting, Machine Learning, Explainable AI, Credit Scoring, Automated Decisioning, Financial Risk Management</w:t>
      </w:r>
    </w:p>
    <w:p w14:paraId="2C1811CA" w14:textId="77777777" w:rsidR="00B02174" w:rsidRDefault="00B02174">
      <w:pPr>
        <w:sectPr w:rsidR="00B02174">
          <w:pgSz w:w="12240" w:h="15840"/>
          <w:pgMar w:top="1080" w:right="1080" w:bottom="1080" w:left="1080" w:header="708" w:footer="708" w:gutter="0"/>
          <w:cols w:space="720"/>
          <w:docGrid w:linePitch="360"/>
        </w:sectPr>
      </w:pPr>
    </w:p>
    <w:p w14:paraId="326F2A81" w14:textId="77777777" w:rsidR="00B02174" w:rsidRDefault="00FB2408">
      <w:pPr>
        <w:spacing w:before="220" w:after="120"/>
      </w:pPr>
      <w:r>
        <w:rPr>
          <w:b/>
          <w:bCs/>
        </w:rPr>
        <w:t>I. INTRODUCTION</w:t>
      </w:r>
    </w:p>
    <w:p w14:paraId="6DBE7293" w14:textId="77777777" w:rsidR="00B02174" w:rsidRDefault="00FB2408">
      <w:pPr>
        <w:spacing w:after="160"/>
        <w:jc w:val="both"/>
      </w:pPr>
      <w:r>
        <w:t>Lending institutions evaluate a large volume of loan applications, each requiring assessment of an applicant's ability and likelihood to repay. This assessment, commonly known as credit risk evaluation or underwriting, is a core function across banking, NBFCs, credit unions, and fintech lending platforms. A typical underwriting workflow involves collecting applicant data, evaluating risk, and issuing a lending decision.</w:t>
      </w:r>
    </w:p>
    <w:p w14:paraId="3E3E57D4" w14:textId="77777777" w:rsidR="00B02174" w:rsidRDefault="00FB2408">
      <w:pPr>
        <w:spacing w:after="160"/>
        <w:jc w:val="both"/>
      </w:pPr>
      <w:r>
        <w:t>Although digital application forms have made data collection easier, the risk assessment stage still requires considerable manual effort. A reviewer may need to verify credit bureau history, calculate income and debt ratios, cross-check documentation, and apply lending policy rules, often separately for each loan product. When applicant data includes bureau records, income statements, and transaction history, different techniques may be required to combine these signals into a single risk view.</w:t>
      </w:r>
    </w:p>
    <w:p w14:paraId="78BC458A" w14:textId="77777777" w:rsidR="00B02174" w:rsidRDefault="00FB2408">
      <w:pPr>
        <w:spacing w:after="160"/>
        <w:jc w:val="both"/>
      </w:pPr>
      <w:r>
        <w:t xml:space="preserve">Recent research has explored machine learning for credit scoring using both traditional bureau data and alternative </w:t>
      </w:r>
      <w:proofErr w:type="spellStart"/>
      <w:r>
        <w:t>behavioral</w:t>
      </w:r>
      <w:proofErr w:type="spellEnd"/>
      <w:r>
        <w:t xml:space="preserve"> or transactional signals [1]. Explainable AI techniques such as SHAP and LIME have been applied to make credit risk models transparent for regulated lending decisions [2]. Comparative studies have benchmarked ensemble and deep-learning models for default prediction [3]</w:t>
      </w:r>
      <w:r>
        <w:t>, and ensemble methods combined with class-imbalance handling have been shown to improve default prediction performance [4].</w:t>
      </w:r>
    </w:p>
    <w:p w14:paraId="69C4C40E" w14:textId="77777777" w:rsidR="00B02174" w:rsidRDefault="00FB2408">
      <w:pPr>
        <w:spacing w:after="160"/>
        <w:jc w:val="both"/>
      </w:pPr>
      <w:r>
        <w:t xml:space="preserve">Motivated by these developments, this project proposes </w:t>
      </w:r>
      <w:proofErr w:type="spellStart"/>
      <w:r>
        <w:t>FinSight</w:t>
      </w:r>
      <w:proofErr w:type="spellEnd"/>
      <w:r>
        <w:t xml:space="preserve">, a practical Enterprise Credit Risk Analytics and Automated Loan Underwriting Engine intended to provide a unified, explainable, and auditable solution for structured applicant data. The focus is on automating common risk-scoring and underwriting operations while presenting decisions and portfolio insights through clear, interpretable </w:t>
      </w:r>
      <w:r>
        <w:t>output. The system is intended to support risk analysts and underwriting teams without replacing sound lending policy and regulatory oversight.</w:t>
      </w:r>
    </w:p>
    <w:p w14:paraId="3CA22FEB" w14:textId="77777777" w:rsidR="00B02174" w:rsidRDefault="00FB2408">
      <w:pPr>
        <w:spacing w:before="220" w:after="120"/>
      </w:pPr>
      <w:r>
        <w:rPr>
          <w:b/>
          <w:bCs/>
        </w:rPr>
        <w:t>II. PROBLEM STATEMENT</w:t>
      </w:r>
    </w:p>
    <w:p w14:paraId="35151440" w14:textId="77777777" w:rsidR="00B02174" w:rsidRDefault="00FB2408">
      <w:pPr>
        <w:spacing w:after="160"/>
        <w:jc w:val="both"/>
      </w:pPr>
      <w:r>
        <w:t xml:space="preserve">Loan applicant data is typically spread across credit bureau reports, income documents, bank statements, and internal transaction history. Manually combining and </w:t>
      </w:r>
      <w:proofErr w:type="spellStart"/>
      <w:r>
        <w:t>analyzing</w:t>
      </w:r>
      <w:proofErr w:type="spellEnd"/>
      <w:r>
        <w:t xml:space="preserve"> these sources for every application is repetitive, time-consuming, and can lead to inconsistent lending decisions across reviewers and branches. As application volumes grow, it becomes difficult for underwriters to apply lending policy consistently or to identify high-risk applications early. Existing approaches often address only one part of the workflow, such as risk scoring, explainability, or rule-based eligibility checks, in isolation. Therefore, there is a need for a unified tool that can in</w:t>
      </w:r>
      <w:r>
        <w:t>gest applicant data, score credit risk, apply lending policy automatically, explain each decision, and present portfolio-level risk in a single workflow.</w:t>
      </w:r>
    </w:p>
    <w:p w14:paraId="04B6B8D7" w14:textId="77777777" w:rsidR="00B02174" w:rsidRDefault="00FB2408">
      <w:pPr>
        <w:spacing w:before="220" w:after="120"/>
      </w:pPr>
      <w:r>
        <w:rPr>
          <w:b/>
          <w:bCs/>
        </w:rPr>
        <w:t>III. OBJECTIVES</w:t>
      </w:r>
    </w:p>
    <w:p w14:paraId="70DDBE8F" w14:textId="77777777" w:rsidR="00B02174" w:rsidRDefault="00FB2408">
      <w:pPr>
        <w:spacing w:after="120"/>
        <w:ind w:left="200" w:hanging="200"/>
        <w:jc w:val="both"/>
      </w:pPr>
      <w:r>
        <w:t>• To provide a data pipeline for ingesting and validating structured applicant credit, income, and transaction data.</w:t>
      </w:r>
    </w:p>
    <w:p w14:paraId="05E46578" w14:textId="77777777" w:rsidR="00B02174" w:rsidRDefault="00FB2408">
      <w:pPr>
        <w:spacing w:after="120"/>
        <w:ind w:left="200" w:hanging="200"/>
        <w:jc w:val="both"/>
      </w:pPr>
      <w:r>
        <w:t>• To engineer risk-relevant features such as debt-to-income ratio, credit utilization, and repayment history.</w:t>
      </w:r>
    </w:p>
    <w:p w14:paraId="26156744" w14:textId="77777777" w:rsidR="00B02174" w:rsidRDefault="00FB2408">
      <w:pPr>
        <w:spacing w:after="120"/>
        <w:ind w:left="200" w:hanging="200"/>
        <w:jc w:val="both"/>
      </w:pPr>
      <w:r>
        <w:t>• To develop and compare machine learning models for probability-of-default risk scoring.</w:t>
      </w:r>
    </w:p>
    <w:p w14:paraId="1E2757CC" w14:textId="77777777" w:rsidR="00B02174" w:rsidRDefault="00FB2408">
      <w:pPr>
        <w:spacing w:after="120"/>
        <w:ind w:left="200" w:hanging="200"/>
        <w:jc w:val="both"/>
      </w:pPr>
      <w:r>
        <w:t>• To design an automated underwriting engine that converts model output and lending policy rules into approve, refer, or reject decisions.</w:t>
      </w:r>
    </w:p>
    <w:p w14:paraId="665FFA82" w14:textId="77777777" w:rsidR="00B02174" w:rsidRDefault="00FB2408">
      <w:pPr>
        <w:spacing w:after="120"/>
        <w:ind w:left="200" w:hanging="200"/>
        <w:jc w:val="both"/>
      </w:pPr>
      <w:r>
        <w:t>• To integrate model explainability so every underwriting decision can be justified for compliance and audit.</w:t>
      </w:r>
    </w:p>
    <w:p w14:paraId="0B1A3F6C" w14:textId="77777777" w:rsidR="00B02174" w:rsidRDefault="00FB2408">
      <w:pPr>
        <w:spacing w:after="120"/>
        <w:ind w:left="200" w:hanging="200"/>
        <w:jc w:val="both"/>
      </w:pPr>
      <w:r>
        <w:t>• To present portfolio-level risk analytics through a clear, interactive dashboard.</w:t>
      </w:r>
    </w:p>
    <w:p w14:paraId="08FFBED2" w14:textId="77777777" w:rsidR="00B02174" w:rsidRDefault="00FB2408">
      <w:pPr>
        <w:spacing w:before="220" w:after="120"/>
      </w:pPr>
      <w:r>
        <w:rPr>
          <w:b/>
          <w:bCs/>
        </w:rPr>
        <w:lastRenderedPageBreak/>
        <w:t>IV. RELATED WORK</w:t>
      </w:r>
    </w:p>
    <w:p w14:paraId="564834B0" w14:textId="77777777" w:rsidR="00B02174" w:rsidRDefault="00FB2408">
      <w:pPr>
        <w:spacing w:before="160" w:after="80"/>
      </w:pPr>
      <w:r>
        <w:rPr>
          <w:b/>
          <w:bCs/>
          <w:i/>
          <w:iCs/>
        </w:rPr>
        <w:t>A. MACHINE LEARNING FOR CREDIT SCORING WITH ALTERNATIVE DATA</w:t>
      </w:r>
    </w:p>
    <w:p w14:paraId="2B1A18D5" w14:textId="77777777" w:rsidR="00B02174" w:rsidRDefault="00FB2408">
      <w:pPr>
        <w:spacing w:after="160"/>
        <w:jc w:val="both"/>
      </w:pPr>
      <w:r>
        <w:t xml:space="preserve">Abi investigated machine learning models for credit scoring and loan default prediction using </w:t>
      </w:r>
      <w:proofErr w:type="spellStart"/>
      <w:r>
        <w:t>behavioral</w:t>
      </w:r>
      <w:proofErr w:type="spellEnd"/>
      <w:r>
        <w:t xml:space="preserve"> and transactional signals, such as spending patterns and payment timing, in addition to traditional bureau records [1]</w:t>
      </w:r>
      <w:r>
        <w:t xml:space="preserve">. The study reported that combining alternative data sources improves predictive richness and addressed challenges of privacy, class imbalance, and interpretability using SHAP and LIME. However, the work concentrates on model performance rather than a complete, policy-driven decisioning workflow. The proposed project extends this direction by combining bureau and </w:t>
      </w:r>
      <w:proofErr w:type="spellStart"/>
      <w:r>
        <w:t>behavioral</w:t>
      </w:r>
      <w:proofErr w:type="spellEnd"/>
      <w:r>
        <w:t xml:space="preserve"> features within an end-to-end underwriting pipeline.</w:t>
      </w:r>
    </w:p>
    <w:p w14:paraId="23377581" w14:textId="77777777" w:rsidR="00B02174" w:rsidRDefault="00FB2408">
      <w:pPr>
        <w:spacing w:before="160" w:after="80"/>
      </w:pPr>
      <w:r>
        <w:rPr>
          <w:b/>
          <w:bCs/>
          <w:i/>
          <w:iCs/>
        </w:rPr>
        <w:t>B. EXPLAINABLE AI FOR CREDIT RISK DECISIONS</w:t>
      </w:r>
    </w:p>
    <w:p w14:paraId="21A38C57" w14:textId="77777777" w:rsidR="00B02174" w:rsidRDefault="00FB2408">
      <w:pPr>
        <w:spacing w:after="160"/>
        <w:jc w:val="both"/>
      </w:pPr>
      <w:r>
        <w:t xml:space="preserve">Shreya and Pathak presented an explainable AI system for credit risk assessment combining </w:t>
      </w:r>
      <w:proofErr w:type="spellStart"/>
      <w:r>
        <w:t>XGBoost</w:t>
      </w:r>
      <w:proofErr w:type="spellEnd"/>
      <w:r>
        <w:t xml:space="preserve">, </w:t>
      </w:r>
      <w:proofErr w:type="spellStart"/>
      <w:r>
        <w:t>LightGBM</w:t>
      </w:r>
      <w:proofErr w:type="spellEnd"/>
      <w:r>
        <w:t>, and Random Forest with SHAP and LIME to generate applicant-specific explanation reports [2]</w:t>
      </w:r>
      <w:r>
        <w:t>. Their system emphasized transparency in individual lending decisions. For an enterprise underwriting tool, however, explainability alone is not sufficient; it must be paired with automated policy rules and portfolio-level monitoring. The proposed system builds on this explainability approach while embedding it within a complete underwriting workflow.</w:t>
      </w:r>
    </w:p>
    <w:p w14:paraId="1A4B9B1B" w14:textId="77777777" w:rsidR="00B02174" w:rsidRDefault="00FB2408">
      <w:pPr>
        <w:spacing w:before="160" w:after="80"/>
      </w:pPr>
      <w:r>
        <w:rPr>
          <w:b/>
          <w:bCs/>
          <w:i/>
          <w:iCs/>
        </w:rPr>
        <w:t>C. BENCHMARKING MACHINE LEARNING AND DEEP LEARNING MODELS</w:t>
      </w:r>
    </w:p>
    <w:p w14:paraId="618A28CF" w14:textId="77777777" w:rsidR="00B02174" w:rsidRDefault="00FB2408">
      <w:pPr>
        <w:spacing w:after="160"/>
        <w:jc w:val="both"/>
      </w:pPr>
      <w:r>
        <w:t xml:space="preserve">Chang et al. compared several machine learning and deep learning models, including random forest, AdaBoost, </w:t>
      </w:r>
      <w:proofErr w:type="spellStart"/>
      <w:r>
        <w:t>XGBoost</w:t>
      </w:r>
      <w:proofErr w:type="spellEnd"/>
      <w:r>
        <w:t>, and neural networks, for predicting credit card customer default, and found gradient-boosted models to perform strongly on this task [3]</w:t>
      </w:r>
      <w:r>
        <w:t>. The study provides a useful benchmark for model selection but is limited to a single loan product and does not integrate scoring into a decisioning or monitoring system. The proposed project applies a similar benchmarking approach but extends it across the broader loan-underwriting lifecycle.</w:t>
      </w:r>
    </w:p>
    <w:p w14:paraId="0C4C6A6A" w14:textId="77777777" w:rsidR="00B02174" w:rsidRDefault="00FB2408">
      <w:pPr>
        <w:spacing w:before="160" w:after="80"/>
      </w:pPr>
      <w:r>
        <w:rPr>
          <w:b/>
          <w:bCs/>
          <w:i/>
          <w:iCs/>
        </w:rPr>
        <w:t>D. ENSEMBLE LEARNING AND CLASS-IMBALANCE HANDLING</w:t>
      </w:r>
    </w:p>
    <w:p w14:paraId="6A9B167C" w14:textId="77777777" w:rsidR="00B02174" w:rsidRDefault="00FB2408">
      <w:pPr>
        <w:spacing w:after="160"/>
        <w:jc w:val="both"/>
      </w:pPr>
      <w:proofErr w:type="spellStart"/>
      <w:r>
        <w:t>Akinjole</w:t>
      </w:r>
      <w:proofErr w:type="spellEnd"/>
      <w:r>
        <w:t xml:space="preserve"> et al. compared random forest, decision tree, support vector machines, </w:t>
      </w:r>
      <w:proofErr w:type="spellStart"/>
      <w:r>
        <w:t>XGBoost</w:t>
      </w:r>
      <w:proofErr w:type="spellEnd"/>
      <w:r>
        <w:t>, AdaBoost, and a multi-layer perceptron for loan default prediction, and evaluated resampling techniques such as SMOTE and ADASYN to address class imbalance in default data [4]</w:t>
      </w:r>
      <w:r>
        <w:t>. Their results show that balanced training data and ensemble methods, particularly stacking, improve default prediction performance. The study focuses on model and technique comparison rather than a deployable decision system. The proposed project incorporates similar imbalance-handling practice within a production-oriented underwriting pipeline.</w:t>
      </w:r>
    </w:p>
    <w:p w14:paraId="5ABA72CE" w14:textId="77777777" w:rsidR="00B02174" w:rsidRDefault="00FB2408">
      <w:pPr>
        <w:spacing w:before="160" w:after="80"/>
      </w:pPr>
      <w:r>
        <w:rPr>
          <w:b/>
          <w:bCs/>
          <w:i/>
          <w:iCs/>
        </w:rPr>
        <w:t>E. STRUCTURED-DATA FRAMEWORKS FOR CREDIT RISK ASSESSMENT</w:t>
      </w:r>
    </w:p>
    <w:p w14:paraId="3DD327EC" w14:textId="77777777" w:rsidR="00B02174" w:rsidRDefault="00FB2408">
      <w:pPr>
        <w:spacing w:after="160"/>
        <w:jc w:val="both"/>
      </w:pPr>
      <w:r>
        <w:t>Gade and Kunwar proposed a machine learning framework for predictive credit risk assessment and loan default detection using structured borrower attributes such as income, employment type, loan amount, and repayment history [5]</w:t>
      </w:r>
      <w:r>
        <w:t>. Their framework classifies applicants as defaulters or non-defaulters using a synthetically generated dataset. The work demonstrates a practical classification pipeline but does not include automated policy-based decisioning, explainability reporting, or portfolio monitoring. The proposed project extends this direction into a complete underwriting engine.</w:t>
      </w:r>
    </w:p>
    <w:p w14:paraId="68AF4F77" w14:textId="77777777" w:rsidR="00B02174" w:rsidRDefault="00FB2408">
      <w:pPr>
        <w:spacing w:before="160" w:after="80"/>
      </w:pPr>
      <w:r>
        <w:rPr>
          <w:b/>
          <w:bCs/>
          <w:i/>
          <w:iCs/>
        </w:rPr>
        <w:t>F. RESEARCH GAP</w:t>
      </w:r>
    </w:p>
    <w:p w14:paraId="2888740E" w14:textId="77777777" w:rsidR="00B02174" w:rsidRDefault="00FB2408">
      <w:pPr>
        <w:spacing w:after="160"/>
        <w:jc w:val="both"/>
      </w:pPr>
      <w:r>
        <w:t xml:space="preserve">The literature shows that existing studies generally emphasize one aspect of credit risk analytics: predictive accuracy using alternative data, explainability of individual decisions, benchmarking of algorithms, or handling of class imbalance. Few works integrate data ingestion, risk scoring, automated policy-based decisioning, explainability, and portfolio-level monitoring into a single enterprise-oriented workflow. The proposed </w:t>
      </w:r>
      <w:proofErr w:type="spellStart"/>
      <w:r>
        <w:t>FinSight</w:t>
      </w:r>
      <w:proofErr w:type="spellEnd"/>
      <w:r>
        <w:t xml:space="preserve"> system addresses this gap by combining these stages into one modular pipeline suitable for structured lending datasets.</w:t>
      </w:r>
    </w:p>
    <w:p w14:paraId="15D8FF2D" w14:textId="77777777" w:rsidR="00B02174" w:rsidRDefault="00FB2408">
      <w:pPr>
        <w:spacing w:before="220" w:after="120"/>
      </w:pPr>
      <w:r>
        <w:rPr>
          <w:b/>
          <w:bCs/>
        </w:rPr>
        <w:t>V. PROPOSED SYSTEM</w:t>
      </w:r>
    </w:p>
    <w:p w14:paraId="40C21CC4" w14:textId="77777777" w:rsidR="00B02174" w:rsidRDefault="00FB2408">
      <w:pPr>
        <w:spacing w:after="160"/>
        <w:jc w:val="both"/>
      </w:pPr>
      <w:r>
        <w:t xml:space="preserve">The proposed </w:t>
      </w:r>
      <w:proofErr w:type="spellStart"/>
      <w:r>
        <w:t>FinSight</w:t>
      </w:r>
      <w:proofErr w:type="spellEnd"/>
      <w:r>
        <w:t xml:space="preserve"> system follows a pipeline-based architecture. The user or system first ingests applicant data, normally from credit bureau extracts, income documents, and transaction records. The system validates the dataset and identifies fields, data types, missing values, and basic applicant characteristics. The feature engineering component then prepares the data for modelling. The risk-scoring component estimates a probability of default for each applicant, the decision engine applies lending policy to reach </w:t>
      </w:r>
      <w:r>
        <w:t>an underwriting outcome, and the explainability component generates a reasoned justification for each decision. The system is designed as a modular application so that individual components can be improved independently, following the modular principle demonstrated by prior credit risk research.</w:t>
      </w:r>
    </w:p>
    <w:p w14:paraId="71D6669D" w14:textId="77777777" w:rsidR="00B02174" w:rsidRDefault="00FB2408">
      <w:pPr>
        <w:spacing w:before="160" w:after="80"/>
      </w:pPr>
      <w:r>
        <w:rPr>
          <w:b/>
          <w:bCs/>
          <w:i/>
          <w:iCs/>
        </w:rPr>
        <w:t>A. DATA INGESTION MODULE</w:t>
      </w:r>
    </w:p>
    <w:p w14:paraId="492B85F4" w14:textId="77777777" w:rsidR="00B02174" w:rsidRDefault="00FB2408">
      <w:pPr>
        <w:spacing w:after="160"/>
        <w:jc w:val="both"/>
      </w:pPr>
      <w:r>
        <w:t>The ingestion module accepts structured applicant data and validates its format. It checks whether the dataset can be read and whether required fields, such as income, loan amount, and credit history, are present. Field names and data types are displayed so that risk analysts can understand the available applicant attributes.</w:t>
      </w:r>
    </w:p>
    <w:p w14:paraId="25BEB14B" w14:textId="77777777" w:rsidR="00B02174" w:rsidRDefault="00FB2408">
      <w:pPr>
        <w:spacing w:before="160" w:after="80"/>
      </w:pPr>
      <w:r>
        <w:rPr>
          <w:b/>
          <w:bCs/>
          <w:i/>
          <w:iCs/>
        </w:rPr>
        <w:t>B. FEATURE ENGINEERING &amp; PREPROCESSING MODULE</w:t>
      </w:r>
    </w:p>
    <w:p w14:paraId="1FA440F2" w14:textId="77777777" w:rsidR="00B02174" w:rsidRDefault="00FB2408">
      <w:pPr>
        <w:spacing w:after="160"/>
        <w:jc w:val="both"/>
      </w:pPr>
      <w:r>
        <w:t>Preprocessing is performed before risk modelling. Missing values are identified and handled, and inconsistent categorical entries are normalized. Derived features such as debt-to-income ratio, credit utilization, and repayment consistency are computed. Class-imbalance techniques, such as SMOTE, can be applied to the training data since defaulting applicants are typically a minority class.</w:t>
      </w:r>
    </w:p>
    <w:p w14:paraId="7B5C4E51" w14:textId="77777777" w:rsidR="00B02174" w:rsidRDefault="00FB2408">
      <w:pPr>
        <w:spacing w:before="160" w:after="80"/>
      </w:pPr>
      <w:r>
        <w:rPr>
          <w:b/>
          <w:bCs/>
          <w:i/>
          <w:iCs/>
        </w:rPr>
        <w:t>C. RISK SCORING MODULE</w:t>
      </w:r>
    </w:p>
    <w:p w14:paraId="1F35616E" w14:textId="77777777" w:rsidR="00B02174" w:rsidRDefault="00FB2408">
      <w:pPr>
        <w:spacing w:after="160"/>
        <w:jc w:val="both"/>
      </w:pPr>
      <w:r>
        <w:lastRenderedPageBreak/>
        <w:t xml:space="preserve">The scoring module estimates a probability of default for each applicant using classification models such as logistic regression, random forest, and gradient-boosted trees (e.g., </w:t>
      </w:r>
      <w:proofErr w:type="spellStart"/>
      <w:r>
        <w:t>XGBoost</w:t>
      </w:r>
      <w:proofErr w:type="spellEnd"/>
      <w:r>
        <w:t>). Model performance is evaluated using metrics such as AUC-ROC, the KS-statistic, precision, and recall, and the best-performing model is selected for deployment.</w:t>
      </w:r>
    </w:p>
    <w:p w14:paraId="5DE770EE" w14:textId="77777777" w:rsidR="00B02174" w:rsidRDefault="00FB2408">
      <w:pPr>
        <w:spacing w:before="160" w:after="80"/>
      </w:pPr>
      <w:r>
        <w:rPr>
          <w:b/>
          <w:bCs/>
          <w:i/>
          <w:iCs/>
        </w:rPr>
        <w:t>D. AUTOMATED UNDERWRITING DECISION ENGINE</w:t>
      </w:r>
    </w:p>
    <w:p w14:paraId="12E44E9A" w14:textId="77777777" w:rsidR="00B02174" w:rsidRDefault="00FB2408">
      <w:pPr>
        <w:spacing w:after="160"/>
        <w:jc w:val="both"/>
      </w:pPr>
      <w:r>
        <w:t>The decision engine combines the risk score with configurable lending policy rules, such as minimum score thresholds, exposure limits, and product-specific eligibility criteria, to issue an approve, refer-for-review, or reject decision. Keeping policy rules configurable and separate from the model allows risk teams to adjust lending criteria without retraining the underlying model.</w:t>
      </w:r>
    </w:p>
    <w:p w14:paraId="5BA83240" w14:textId="77777777" w:rsidR="00B02174" w:rsidRDefault="00FB2408">
      <w:pPr>
        <w:spacing w:before="160" w:after="80"/>
      </w:pPr>
      <w:r>
        <w:rPr>
          <w:b/>
          <w:bCs/>
          <w:i/>
          <w:iCs/>
        </w:rPr>
        <w:t>E. EXPLAINABILITY &amp; MONITORING MODULE</w:t>
      </w:r>
    </w:p>
    <w:p w14:paraId="5E9CA5F4" w14:textId="77777777" w:rsidR="00B02174" w:rsidRDefault="00FB2408">
      <w:pPr>
        <w:spacing w:after="160"/>
        <w:jc w:val="both"/>
      </w:pPr>
      <w:r>
        <w:t>This module converts model output into a reasoned explanation using techniques such as SHAP, identifying the key factors behind each individual decision. Explanations, together with decision outcomes, feed into a portfolio dashboard where risk analysts can monitor approval rates, default trends, and score distributions across the loan book.</w:t>
      </w:r>
    </w:p>
    <w:p w14:paraId="3A976047" w14:textId="77777777" w:rsidR="00B02174" w:rsidRDefault="00FB2408">
      <w:pPr>
        <w:spacing w:before="220" w:after="120"/>
      </w:pPr>
      <w:r>
        <w:rPr>
          <w:b/>
          <w:bCs/>
        </w:rPr>
        <w:t>VI. SYSTEM WORKFLOW</w:t>
      </w:r>
    </w:p>
    <w:p w14:paraId="5C554714" w14:textId="77777777" w:rsidR="00B02174" w:rsidRDefault="00FB2408">
      <w:pPr>
        <w:spacing w:after="160"/>
        <w:jc w:val="both"/>
      </w:pPr>
      <w:r>
        <w:t>The complete workflow is represented as:</w:t>
      </w:r>
    </w:p>
    <w:p w14:paraId="4E94A873" w14:textId="77777777" w:rsidR="00B02174" w:rsidRDefault="00FB2408">
      <w:pPr>
        <w:spacing w:after="160"/>
        <w:jc w:val="both"/>
      </w:pPr>
      <w:r>
        <w:rPr>
          <w:b/>
          <w:bCs/>
        </w:rPr>
        <w:t>Applicant Data Ingestion → Data Validation &amp; Cleaning → Feature Engineering → Risk Scoring → Policy Rule Evaluation → Underwriting Decision → Explainability Report Generation → Portfolio Dashboard</w:t>
      </w:r>
    </w:p>
    <w:p w14:paraId="380F29FB" w14:textId="77777777" w:rsidR="00B02174" w:rsidRDefault="00FB2408">
      <w:pPr>
        <w:spacing w:after="160"/>
        <w:jc w:val="both"/>
      </w:pPr>
      <w:r>
        <w:t>The modular structure makes it possible to replace or improve one stage, such as the scoring model or the policy rules, without redesigning the complete application.</w:t>
      </w:r>
    </w:p>
    <w:p w14:paraId="38CA52BB" w14:textId="77777777" w:rsidR="00B02174" w:rsidRDefault="00FB2408">
      <w:pPr>
        <w:spacing w:before="220" w:after="120"/>
      </w:pPr>
      <w:r>
        <w:rPr>
          <w:b/>
          <w:bCs/>
        </w:rPr>
        <w:t>VII. IMPLEMENTATION APPROACH</w:t>
      </w:r>
    </w:p>
    <w:p w14:paraId="44D4B3E3" w14:textId="77777777" w:rsidR="00B02174" w:rsidRDefault="00FB2408">
      <w:pPr>
        <w:spacing w:after="160"/>
        <w:jc w:val="both"/>
      </w:pPr>
      <w:r>
        <w:t xml:space="preserve">A practical implementation can be developed using Python because it provides libraries for data manipulation, machine learning, and visualization. Pandas can be used to load and clean applicant data, while scikit-learn and </w:t>
      </w:r>
      <w:proofErr w:type="spellStart"/>
      <w:r>
        <w:t>XGBoost</w:t>
      </w:r>
      <w:proofErr w:type="spellEnd"/>
      <w:r>
        <w:t xml:space="preserve"> can be used to train and evaluate risk-scoring models. SHAP can be used to generate decision explanations, and </w:t>
      </w:r>
      <w:proofErr w:type="spellStart"/>
      <w:r>
        <w:t>Streamlit</w:t>
      </w:r>
      <w:proofErr w:type="spellEnd"/>
      <w:r>
        <w:t xml:space="preserve"> or </w:t>
      </w:r>
      <w:proofErr w:type="spellStart"/>
      <w:r>
        <w:t>Plotly</w:t>
      </w:r>
      <w:proofErr w:type="spellEnd"/>
      <w:r>
        <w:t xml:space="preserve"> can provide an interactive dashboard for risk analysts.</w:t>
      </w:r>
    </w:p>
    <w:p w14:paraId="2F05F125" w14:textId="77777777" w:rsidR="00B02174" w:rsidRDefault="00FB2408">
      <w:pPr>
        <w:spacing w:after="160"/>
        <w:jc w:val="both"/>
      </w:pPr>
      <w:r>
        <w:t>The implementation should maintain a clear separation between the risk-scoring layer, the policy-decisioning layer, and the presentation layer. The scoring layer should return a probability of default, the decisioning layer should return a policy-based outcome, and the dashboard layer should display those results. This separation makes the system easier to test, maintain, and extend to additional loan products.</w:t>
      </w:r>
    </w:p>
    <w:p w14:paraId="1200DE94" w14:textId="77777777" w:rsidR="00B02174" w:rsidRDefault="00FB2408">
      <w:pPr>
        <w:spacing w:before="220" w:after="120"/>
      </w:pPr>
      <w:r>
        <w:rPr>
          <w:b/>
          <w:bCs/>
        </w:rPr>
        <w:t>VIII. LITERATURE GAP AND COMPARISON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820"/>
        <w:gridCol w:w="1018"/>
        <w:gridCol w:w="2449"/>
      </w:tblGrid>
      <w:tr w:rsidR="00B02174" w14:paraId="4E0A6544" w14:textId="77777777">
        <w:tblPrEx>
          <w:tblCellMar>
            <w:top w:w="0" w:type="dxa"/>
            <w:bottom w:w="0" w:type="dxa"/>
          </w:tblCellMar>
        </w:tblPrEx>
        <w:trPr>
          <w:tblHeader/>
        </w:trPr>
        <w:tc>
          <w:tcPr>
            <w:tcW w:w="560" w:type="dxa"/>
            <w:tcBorders>
              <w:top w:val="single" w:sz="2" w:space="0" w:color="999999"/>
              <w:left w:val="single" w:sz="2" w:space="0" w:color="999999"/>
              <w:bottom w:val="single" w:sz="2" w:space="0" w:color="999999"/>
              <w:right w:val="single" w:sz="2" w:space="0" w:color="999999"/>
            </w:tcBorders>
            <w:shd w:val="clear" w:color="auto" w:fill="1E5155"/>
            <w:tcMar>
              <w:top w:w="40" w:type="dxa"/>
              <w:left w:w="30" w:type="dxa"/>
              <w:bottom w:w="40" w:type="dxa"/>
              <w:right w:w="30" w:type="dxa"/>
            </w:tcMar>
          </w:tcPr>
          <w:p w14:paraId="466787D7" w14:textId="77777777" w:rsidR="00B02174" w:rsidRDefault="00FB2408">
            <w:r>
              <w:rPr>
                <w:b/>
                <w:bCs/>
                <w:color w:val="FFFFFF"/>
                <w:sz w:val="13"/>
                <w:szCs w:val="13"/>
              </w:rPr>
              <w:t>Research Work</w:t>
            </w:r>
          </w:p>
        </w:tc>
        <w:tc>
          <w:tcPr>
            <w:tcW w:w="820" w:type="dxa"/>
            <w:tcBorders>
              <w:top w:val="single" w:sz="2" w:space="0" w:color="999999"/>
              <w:left w:val="single" w:sz="2" w:space="0" w:color="999999"/>
              <w:bottom w:val="single" w:sz="2" w:space="0" w:color="999999"/>
              <w:right w:val="single" w:sz="2" w:space="0" w:color="999999"/>
            </w:tcBorders>
            <w:shd w:val="clear" w:color="auto" w:fill="1E5155"/>
            <w:tcMar>
              <w:top w:w="40" w:type="dxa"/>
              <w:left w:w="30" w:type="dxa"/>
              <w:bottom w:w="40" w:type="dxa"/>
              <w:right w:w="30" w:type="dxa"/>
            </w:tcMar>
          </w:tcPr>
          <w:p w14:paraId="0CD3262A" w14:textId="77777777" w:rsidR="00B02174" w:rsidRDefault="00FB2408">
            <w:r>
              <w:rPr>
                <w:b/>
                <w:bCs/>
                <w:color w:val="FFFFFF"/>
                <w:sz w:val="13"/>
                <w:szCs w:val="13"/>
              </w:rPr>
              <w:t>Main Method</w:t>
            </w:r>
          </w:p>
        </w:tc>
        <w:tc>
          <w:tcPr>
            <w:tcW w:w="1020" w:type="dxa"/>
            <w:tcBorders>
              <w:top w:val="single" w:sz="2" w:space="0" w:color="999999"/>
              <w:left w:val="single" w:sz="2" w:space="0" w:color="999999"/>
              <w:bottom w:val="single" w:sz="2" w:space="0" w:color="999999"/>
              <w:right w:val="single" w:sz="2" w:space="0" w:color="999999"/>
            </w:tcBorders>
            <w:shd w:val="clear" w:color="auto" w:fill="1E5155"/>
            <w:tcMar>
              <w:top w:w="40" w:type="dxa"/>
              <w:left w:w="30" w:type="dxa"/>
              <w:bottom w:w="40" w:type="dxa"/>
              <w:right w:w="30" w:type="dxa"/>
            </w:tcMar>
          </w:tcPr>
          <w:p w14:paraId="1B6BD1AE" w14:textId="77777777" w:rsidR="00B02174" w:rsidRDefault="00FB2408">
            <w:r>
              <w:rPr>
                <w:b/>
                <w:bCs/>
                <w:color w:val="FFFFFF"/>
                <w:sz w:val="13"/>
                <w:szCs w:val="13"/>
              </w:rPr>
              <w:t>Main Limitation</w:t>
            </w:r>
          </w:p>
        </w:tc>
        <w:tc>
          <w:tcPr>
            <w:tcW w:w="2460" w:type="dxa"/>
            <w:tcBorders>
              <w:top w:val="single" w:sz="2" w:space="0" w:color="999999"/>
              <w:left w:val="single" w:sz="2" w:space="0" w:color="999999"/>
              <w:bottom w:val="single" w:sz="2" w:space="0" w:color="999999"/>
              <w:right w:val="single" w:sz="2" w:space="0" w:color="999999"/>
            </w:tcBorders>
            <w:shd w:val="clear" w:color="auto" w:fill="1E5155"/>
            <w:tcMar>
              <w:top w:w="40" w:type="dxa"/>
              <w:left w:w="30" w:type="dxa"/>
              <w:bottom w:w="40" w:type="dxa"/>
              <w:right w:w="30" w:type="dxa"/>
            </w:tcMar>
          </w:tcPr>
          <w:p w14:paraId="1257D170" w14:textId="77777777" w:rsidR="00B02174" w:rsidRDefault="00FB2408">
            <w:r>
              <w:rPr>
                <w:b/>
                <w:bCs/>
                <w:color w:val="FFFFFF"/>
                <w:sz w:val="13"/>
                <w:szCs w:val="13"/>
              </w:rPr>
              <w:t>Gap Addressed by Proposed System</w:t>
            </w:r>
          </w:p>
        </w:tc>
      </w:tr>
      <w:tr w:rsidR="00B02174" w14:paraId="2046FBA5" w14:textId="77777777">
        <w:tblPrEx>
          <w:tblCellMar>
            <w:top w:w="0" w:type="dxa"/>
            <w:bottom w:w="0" w:type="dxa"/>
          </w:tblCellMar>
        </w:tblPrEx>
        <w:tc>
          <w:tcPr>
            <w:tcW w:w="5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7FDBC8A7" w14:textId="77777777" w:rsidR="00B02174" w:rsidRDefault="00FB2408">
            <w:pPr>
              <w:jc w:val="both"/>
            </w:pPr>
            <w:r>
              <w:rPr>
                <w:sz w:val="13"/>
                <w:szCs w:val="13"/>
              </w:rPr>
              <w:t>Abi [1]</w:t>
            </w:r>
          </w:p>
        </w:tc>
        <w:tc>
          <w:tcPr>
            <w:tcW w:w="8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2DAD9E8A" w14:textId="77777777" w:rsidR="00B02174" w:rsidRDefault="00FB2408">
            <w:pPr>
              <w:jc w:val="both"/>
            </w:pPr>
            <w:r>
              <w:rPr>
                <w:sz w:val="13"/>
                <w:szCs w:val="13"/>
              </w:rPr>
              <w:t xml:space="preserve">ML with </w:t>
            </w:r>
            <w:proofErr w:type="spellStart"/>
            <w:r>
              <w:rPr>
                <w:sz w:val="13"/>
                <w:szCs w:val="13"/>
              </w:rPr>
              <w:t>behavioral</w:t>
            </w:r>
            <w:proofErr w:type="spellEnd"/>
            <w:r>
              <w:rPr>
                <w:sz w:val="13"/>
                <w:szCs w:val="13"/>
              </w:rPr>
              <w:t xml:space="preserve"> &amp; transactional data</w:t>
            </w:r>
          </w:p>
        </w:tc>
        <w:tc>
          <w:tcPr>
            <w:tcW w:w="10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78A7CEF3" w14:textId="77777777" w:rsidR="00B02174" w:rsidRDefault="00FB2408">
            <w:pPr>
              <w:jc w:val="both"/>
            </w:pPr>
            <w:r>
              <w:rPr>
                <w:sz w:val="13"/>
                <w:szCs w:val="13"/>
              </w:rPr>
              <w:t>No automated policy-based decisioning layer</w:t>
            </w:r>
          </w:p>
        </w:tc>
        <w:tc>
          <w:tcPr>
            <w:tcW w:w="24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58BB30AB" w14:textId="77777777" w:rsidR="00B02174" w:rsidRDefault="00FB2408">
            <w:pPr>
              <w:jc w:val="both"/>
            </w:pPr>
            <w:r>
              <w:rPr>
                <w:sz w:val="13"/>
                <w:szCs w:val="13"/>
              </w:rPr>
              <w:t>Combines alternative data with automated, policy-driven underwriting decisions.</w:t>
            </w:r>
          </w:p>
        </w:tc>
      </w:tr>
      <w:tr w:rsidR="00B02174" w14:paraId="0C4CE3AC" w14:textId="77777777">
        <w:tblPrEx>
          <w:tblCellMar>
            <w:top w:w="0" w:type="dxa"/>
            <w:bottom w:w="0" w:type="dxa"/>
          </w:tblCellMar>
        </w:tblPrEx>
        <w:tc>
          <w:tcPr>
            <w:tcW w:w="5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5E30B584" w14:textId="77777777" w:rsidR="00B02174" w:rsidRDefault="00FB2408">
            <w:pPr>
              <w:jc w:val="both"/>
            </w:pPr>
            <w:r>
              <w:rPr>
                <w:sz w:val="13"/>
                <w:szCs w:val="13"/>
              </w:rPr>
              <w:t>Shreya &amp; Pathak [2]</w:t>
            </w:r>
          </w:p>
        </w:tc>
        <w:tc>
          <w:tcPr>
            <w:tcW w:w="8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0DB07B39" w14:textId="77777777" w:rsidR="00B02174" w:rsidRDefault="00FB2408">
            <w:pPr>
              <w:jc w:val="both"/>
            </w:pPr>
            <w:proofErr w:type="spellStart"/>
            <w:r>
              <w:rPr>
                <w:sz w:val="13"/>
                <w:szCs w:val="13"/>
              </w:rPr>
              <w:t>XGBoost</w:t>
            </w:r>
            <w:proofErr w:type="spellEnd"/>
            <w:r>
              <w:rPr>
                <w:sz w:val="13"/>
                <w:szCs w:val="13"/>
              </w:rPr>
              <w:t xml:space="preserve">, </w:t>
            </w:r>
            <w:proofErr w:type="spellStart"/>
            <w:r>
              <w:rPr>
                <w:sz w:val="13"/>
                <w:szCs w:val="13"/>
              </w:rPr>
              <w:t>LightGBM</w:t>
            </w:r>
            <w:proofErr w:type="spellEnd"/>
            <w:r>
              <w:rPr>
                <w:sz w:val="13"/>
                <w:szCs w:val="13"/>
              </w:rPr>
              <w:t>, Random Forest + SHAP/LIME</w:t>
            </w:r>
          </w:p>
        </w:tc>
        <w:tc>
          <w:tcPr>
            <w:tcW w:w="10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4673ED42" w14:textId="77777777" w:rsidR="00B02174" w:rsidRDefault="00FB2408">
            <w:pPr>
              <w:jc w:val="both"/>
            </w:pPr>
            <w:r>
              <w:rPr>
                <w:sz w:val="13"/>
                <w:szCs w:val="13"/>
              </w:rPr>
              <w:t>Scoring &amp; explainability only; no full underwriting workflow</w:t>
            </w:r>
          </w:p>
        </w:tc>
        <w:tc>
          <w:tcPr>
            <w:tcW w:w="24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6861D59D" w14:textId="77777777" w:rsidR="00B02174" w:rsidRDefault="00FB2408">
            <w:pPr>
              <w:jc w:val="both"/>
            </w:pPr>
            <w:r>
              <w:rPr>
                <w:sz w:val="13"/>
                <w:szCs w:val="13"/>
              </w:rPr>
              <w:t>Embeds explainability within an end-to-end decision and monitoring pipeline.</w:t>
            </w:r>
          </w:p>
        </w:tc>
      </w:tr>
      <w:tr w:rsidR="00B02174" w14:paraId="5136B00E" w14:textId="77777777">
        <w:tblPrEx>
          <w:tblCellMar>
            <w:top w:w="0" w:type="dxa"/>
            <w:bottom w:w="0" w:type="dxa"/>
          </w:tblCellMar>
        </w:tblPrEx>
        <w:tc>
          <w:tcPr>
            <w:tcW w:w="5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7CC6E5B8" w14:textId="77777777" w:rsidR="00B02174" w:rsidRDefault="00FB2408">
            <w:pPr>
              <w:jc w:val="both"/>
            </w:pPr>
            <w:r>
              <w:rPr>
                <w:sz w:val="13"/>
                <w:szCs w:val="13"/>
              </w:rPr>
              <w:t>Chang et al. [3]</w:t>
            </w:r>
          </w:p>
        </w:tc>
        <w:tc>
          <w:tcPr>
            <w:tcW w:w="8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7567B26F" w14:textId="77777777" w:rsidR="00B02174" w:rsidRDefault="00FB2408">
            <w:pPr>
              <w:jc w:val="both"/>
            </w:pPr>
            <w:r>
              <w:rPr>
                <w:sz w:val="13"/>
                <w:szCs w:val="13"/>
              </w:rPr>
              <w:t>Benchmark of ML/DL models on credit card data</w:t>
            </w:r>
          </w:p>
        </w:tc>
        <w:tc>
          <w:tcPr>
            <w:tcW w:w="10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2635506D" w14:textId="77777777" w:rsidR="00B02174" w:rsidRDefault="00FB2408">
            <w:pPr>
              <w:jc w:val="both"/>
            </w:pPr>
            <w:r>
              <w:rPr>
                <w:sz w:val="13"/>
                <w:szCs w:val="13"/>
              </w:rPr>
              <w:t>Single-product benchmark; no decisioning system</w:t>
            </w:r>
          </w:p>
        </w:tc>
        <w:tc>
          <w:tcPr>
            <w:tcW w:w="24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665B2210" w14:textId="77777777" w:rsidR="00B02174" w:rsidRDefault="00FB2408">
            <w:pPr>
              <w:jc w:val="both"/>
            </w:pPr>
            <w:r>
              <w:rPr>
                <w:sz w:val="13"/>
                <w:szCs w:val="13"/>
              </w:rPr>
              <w:t>Extends model benchmarking into a deployable, multi-product underwriting engine.</w:t>
            </w:r>
          </w:p>
        </w:tc>
      </w:tr>
      <w:tr w:rsidR="00B02174" w14:paraId="0BB0FDA4" w14:textId="77777777">
        <w:tblPrEx>
          <w:tblCellMar>
            <w:top w:w="0" w:type="dxa"/>
            <w:bottom w:w="0" w:type="dxa"/>
          </w:tblCellMar>
        </w:tblPrEx>
        <w:tc>
          <w:tcPr>
            <w:tcW w:w="5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3A0CE6AC" w14:textId="77777777" w:rsidR="00B02174" w:rsidRDefault="00FB2408">
            <w:pPr>
              <w:jc w:val="both"/>
            </w:pPr>
            <w:proofErr w:type="spellStart"/>
            <w:r>
              <w:rPr>
                <w:sz w:val="13"/>
                <w:szCs w:val="13"/>
              </w:rPr>
              <w:t>Akinjole</w:t>
            </w:r>
            <w:proofErr w:type="spellEnd"/>
            <w:r>
              <w:rPr>
                <w:sz w:val="13"/>
                <w:szCs w:val="13"/>
              </w:rPr>
              <w:t xml:space="preserve"> et al. [4]</w:t>
            </w:r>
          </w:p>
        </w:tc>
        <w:tc>
          <w:tcPr>
            <w:tcW w:w="8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1BFA294E" w14:textId="77777777" w:rsidR="00B02174" w:rsidRDefault="00FB2408">
            <w:pPr>
              <w:jc w:val="both"/>
            </w:pPr>
            <w:r>
              <w:rPr>
                <w:sz w:val="13"/>
                <w:szCs w:val="13"/>
              </w:rPr>
              <w:t>Ensemble methods + class-imbalance handling</w:t>
            </w:r>
          </w:p>
        </w:tc>
        <w:tc>
          <w:tcPr>
            <w:tcW w:w="10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670F607D" w14:textId="77777777" w:rsidR="00B02174" w:rsidRDefault="00FB2408">
            <w:pPr>
              <w:jc w:val="both"/>
            </w:pPr>
            <w:r>
              <w:rPr>
                <w:sz w:val="13"/>
                <w:szCs w:val="13"/>
              </w:rPr>
              <w:t>Model comparison only; no dashboard or explainability reporting</w:t>
            </w:r>
          </w:p>
        </w:tc>
        <w:tc>
          <w:tcPr>
            <w:tcW w:w="24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53F57C5E" w14:textId="77777777" w:rsidR="00B02174" w:rsidRDefault="00FB2408">
            <w:pPr>
              <w:jc w:val="both"/>
            </w:pPr>
            <w:r>
              <w:rPr>
                <w:sz w:val="13"/>
                <w:szCs w:val="13"/>
              </w:rPr>
              <w:t>Applies imbalance-handling practice inside a production risk-decisioning pipeline.</w:t>
            </w:r>
          </w:p>
        </w:tc>
      </w:tr>
      <w:tr w:rsidR="00B02174" w14:paraId="6502CA2B" w14:textId="77777777">
        <w:tblPrEx>
          <w:tblCellMar>
            <w:top w:w="0" w:type="dxa"/>
            <w:bottom w:w="0" w:type="dxa"/>
          </w:tblCellMar>
        </w:tblPrEx>
        <w:tc>
          <w:tcPr>
            <w:tcW w:w="5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1FFF27BD" w14:textId="77777777" w:rsidR="00B02174" w:rsidRDefault="00FB2408">
            <w:pPr>
              <w:jc w:val="both"/>
            </w:pPr>
            <w:r>
              <w:rPr>
                <w:sz w:val="13"/>
                <w:szCs w:val="13"/>
              </w:rPr>
              <w:t>Gade &amp; Kunwar [5]</w:t>
            </w:r>
          </w:p>
        </w:tc>
        <w:tc>
          <w:tcPr>
            <w:tcW w:w="8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1AA4491E" w14:textId="77777777" w:rsidR="00B02174" w:rsidRDefault="00FB2408">
            <w:pPr>
              <w:jc w:val="both"/>
            </w:pPr>
            <w:r>
              <w:rPr>
                <w:sz w:val="13"/>
                <w:szCs w:val="13"/>
              </w:rPr>
              <w:t>ML framework on structured borrower data</w:t>
            </w:r>
          </w:p>
        </w:tc>
        <w:tc>
          <w:tcPr>
            <w:tcW w:w="102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2B95B401" w14:textId="77777777" w:rsidR="00B02174" w:rsidRDefault="00FB2408">
            <w:pPr>
              <w:jc w:val="both"/>
            </w:pPr>
            <w:r>
              <w:rPr>
                <w:sz w:val="13"/>
                <w:szCs w:val="13"/>
              </w:rPr>
              <w:t>Classification only; no rules engine or portfolio dashboard</w:t>
            </w:r>
          </w:p>
        </w:tc>
        <w:tc>
          <w:tcPr>
            <w:tcW w:w="2460" w:type="dxa"/>
            <w:tcBorders>
              <w:top w:val="single" w:sz="2" w:space="0" w:color="999999"/>
              <w:left w:val="single" w:sz="2" w:space="0" w:color="999999"/>
              <w:bottom w:val="single" w:sz="2" w:space="0" w:color="999999"/>
              <w:right w:val="single" w:sz="2" w:space="0" w:color="999999"/>
            </w:tcBorders>
            <w:tcMar>
              <w:top w:w="40" w:type="dxa"/>
              <w:left w:w="30" w:type="dxa"/>
              <w:bottom w:w="40" w:type="dxa"/>
              <w:right w:w="30" w:type="dxa"/>
            </w:tcMar>
          </w:tcPr>
          <w:p w14:paraId="2927555E" w14:textId="77777777" w:rsidR="00B02174" w:rsidRDefault="00FB2408">
            <w:pPr>
              <w:jc w:val="both"/>
            </w:pPr>
            <w:r>
              <w:rPr>
                <w:sz w:val="13"/>
                <w:szCs w:val="13"/>
              </w:rPr>
              <w:t>Adds automated decisioning, explainability, and portfolio-level monitoring.</w:t>
            </w:r>
          </w:p>
        </w:tc>
      </w:tr>
    </w:tbl>
    <w:p w14:paraId="3712B75A" w14:textId="77777777" w:rsidR="00B02174" w:rsidRDefault="00B02174">
      <w:pPr>
        <w:spacing w:before="160"/>
      </w:pPr>
    </w:p>
    <w:p w14:paraId="6410C877" w14:textId="77777777" w:rsidR="00B02174" w:rsidRDefault="00FB2408">
      <w:pPr>
        <w:spacing w:after="160"/>
        <w:jc w:val="both"/>
      </w:pPr>
      <w:r>
        <w:t>The comparison indicates that the proposed project is not intended to replace specialized modelling or explainability techniques from the literature. Instead, it combines useful capabilities demonstrated separately in prior work into a single enterprise-oriented underwriting application. Its main contribution is integration, transparency, and policy configurability.</w:t>
      </w:r>
    </w:p>
    <w:p w14:paraId="72E77616" w14:textId="77777777" w:rsidR="00B02174" w:rsidRDefault="00FB2408">
      <w:pPr>
        <w:spacing w:before="220" w:after="120"/>
      </w:pPr>
      <w:r>
        <w:rPr>
          <w:b/>
          <w:bCs/>
        </w:rPr>
        <w:t>IX. EVALUATION AND DISCUSSION</w:t>
      </w:r>
    </w:p>
    <w:p w14:paraId="34AA29AC" w14:textId="77777777" w:rsidR="00B02174" w:rsidRDefault="00FB2408">
      <w:pPr>
        <w:spacing w:after="160"/>
        <w:jc w:val="both"/>
      </w:pPr>
      <w:r>
        <w:t>The proposed system can be evaluated using applicant datasets containing bureau, income, and repayment-history fields. Evaluation should verify whether ingested data is processed correctly, whether calculated risk scores agree with independently verified values, whether underwriting decisions are consistent with the configured lending policy, and whether generated explanations reflect the factors that actually drove each decision.</w:t>
      </w:r>
    </w:p>
    <w:p w14:paraId="7F0D72BD" w14:textId="77777777" w:rsidR="00B02174" w:rsidRDefault="00FB2408">
      <w:pPr>
        <w:spacing w:after="160"/>
        <w:jc w:val="both"/>
      </w:pPr>
      <w:r>
        <w:t xml:space="preserve">A practical evaluation can compare the time and effort required to manually underwrite a sample of applications with the time required using </w:t>
      </w:r>
      <w:proofErr w:type="spellStart"/>
      <w:r>
        <w:t>FinSight</w:t>
      </w:r>
      <w:proofErr w:type="spellEnd"/>
      <w:r>
        <w:t>. Consistency can also be evaluated by checking whether the system reaches the same decision for identical applicant profiles, which is difficult to guarantee with manual review. These measures provide evidence without claiming production-grade performance values that have not yet been collected.</w:t>
      </w:r>
    </w:p>
    <w:p w14:paraId="41F7B2E6" w14:textId="77777777" w:rsidR="00B02174" w:rsidRDefault="00FB2408">
      <w:pPr>
        <w:spacing w:after="160"/>
        <w:jc w:val="both"/>
      </w:pPr>
      <w:r>
        <w:t>The proposed system can reduce repetitive manual assessment, provide consistent and auditable lending decisions, and make explainable credit risk analytics accessible to risk teams with limited machine learning expertise. However, software cannot fully correct biased historical lending data, incomplete applicant documentation, or fundamentally flawed lending policy. The system should therefore be considered a decision-support and analytics aid rather than a replacement for human underwriting judgment and re</w:t>
      </w:r>
      <w:r>
        <w:t>gulatory oversight.</w:t>
      </w:r>
    </w:p>
    <w:p w14:paraId="5696ED4E" w14:textId="77777777" w:rsidR="00B02174" w:rsidRDefault="00FB2408">
      <w:pPr>
        <w:spacing w:before="220" w:after="120"/>
      </w:pPr>
      <w:r>
        <w:rPr>
          <w:b/>
          <w:bCs/>
        </w:rPr>
        <w:lastRenderedPageBreak/>
        <w:t>X. FUTURE ENHANCEMENTS</w:t>
      </w:r>
    </w:p>
    <w:p w14:paraId="771ABBAC" w14:textId="77777777" w:rsidR="00B02174" w:rsidRDefault="00FB2408">
      <w:pPr>
        <w:spacing w:after="160"/>
        <w:jc w:val="both"/>
      </w:pPr>
      <w:r>
        <w:t>Future versions can incorporate real-time transaction and alternative-data feeds, fairness and bias auditing across demographic groups, deep-learning credit models, and natural-language generation of underwriting memos. Other possible extensions include multi-product policy templates for personal, auto, SME, and mortgage loans, direct integration with credit bureau APIs, and role-based dashboards for risk, compliance, and underwriting teams.</w:t>
      </w:r>
    </w:p>
    <w:p w14:paraId="579EBCBB" w14:textId="77777777" w:rsidR="00B02174" w:rsidRDefault="00FB2408">
      <w:pPr>
        <w:spacing w:before="220" w:after="120"/>
      </w:pPr>
      <w:r>
        <w:rPr>
          <w:b/>
          <w:bCs/>
        </w:rPr>
        <w:t>XI. CONCLUSION</w:t>
      </w:r>
    </w:p>
    <w:p w14:paraId="7FBB2686" w14:textId="77777777" w:rsidR="00B02174" w:rsidRDefault="00FB2408">
      <w:pPr>
        <w:spacing w:after="160"/>
        <w:jc w:val="both"/>
      </w:pPr>
      <w:r>
        <w:t xml:space="preserve">This paper presented a practical design for </w:t>
      </w:r>
      <w:proofErr w:type="spellStart"/>
      <w:r>
        <w:t>FinSight</w:t>
      </w:r>
      <w:proofErr w:type="spellEnd"/>
      <w:r>
        <w:t>, an Enterprise Credit Risk Analytics and Automated Loan Underwriting Engine that combines data ingestion, feature engineering, machine-learning-based risk scoring, automated policy-based decisioning, and explainability in one workflow. The proposed system addresses a common problem in lending operations: the difficulty of converting raw applicant data into fast, consistent, and explainable underwriting decisions.</w:t>
      </w:r>
    </w:p>
    <w:p w14:paraId="49C1E5A7" w14:textId="77777777" w:rsidR="00B02174" w:rsidRDefault="00FB2408">
      <w:pPr>
        <w:spacing w:after="160"/>
        <w:jc w:val="both"/>
      </w:pPr>
      <w:r>
        <w:t>The reviewed literature demonstrates the value of alternative-data-driven credit scoring, explainable AI for lending decisions, benchmarking of ensemble and deep-learning models, and structured-data risk frameworks. The proposed tool brings these ideas together at a manageable project scale, with emphasis on transparency, configurable lending policy, and portfolio-level monitoring. With further development and evaluation on real lending datasets, the system can be extended into a more comprehensive enterpri</w:t>
      </w:r>
      <w:r>
        <w:t>se credit risk analytics platform.</w:t>
      </w:r>
    </w:p>
    <w:p w14:paraId="2E9424FD" w14:textId="77777777" w:rsidR="00B02174" w:rsidRDefault="00FB2408">
      <w:pPr>
        <w:spacing w:before="220" w:after="120"/>
      </w:pPr>
      <w:r>
        <w:rPr>
          <w:b/>
          <w:bCs/>
        </w:rPr>
        <w:t>REFERENCES</w:t>
      </w:r>
    </w:p>
    <w:p w14:paraId="045BD847" w14:textId="77777777" w:rsidR="00B02174" w:rsidRDefault="00FB2408">
      <w:pPr>
        <w:spacing w:after="100"/>
        <w:ind w:left="200" w:hanging="200"/>
        <w:jc w:val="both"/>
      </w:pPr>
      <w:r>
        <w:rPr>
          <w:sz w:val="18"/>
          <w:szCs w:val="18"/>
        </w:rPr>
        <w:t xml:space="preserve">[1] R. Abi, “Machine learning for credit scoring and loan default prediction using </w:t>
      </w:r>
      <w:proofErr w:type="spellStart"/>
      <w:r>
        <w:rPr>
          <w:sz w:val="18"/>
          <w:szCs w:val="18"/>
        </w:rPr>
        <w:t>behavioral</w:t>
      </w:r>
      <w:proofErr w:type="spellEnd"/>
      <w:r>
        <w:rPr>
          <w:sz w:val="18"/>
          <w:szCs w:val="18"/>
        </w:rPr>
        <w:t xml:space="preserve"> and transactional financial data,” World Journal of Advanced Research and Reviews, vol. 26, no. 3, pp. 884–904, 2025, </w:t>
      </w:r>
      <w:proofErr w:type="spellStart"/>
      <w:r>
        <w:rPr>
          <w:sz w:val="18"/>
          <w:szCs w:val="18"/>
        </w:rPr>
        <w:t>doi</w:t>
      </w:r>
      <w:proofErr w:type="spellEnd"/>
      <w:r>
        <w:rPr>
          <w:sz w:val="18"/>
          <w:szCs w:val="18"/>
        </w:rPr>
        <w:t>: 10.30574/wjarr.2025.26.3.2266.</w:t>
      </w:r>
    </w:p>
    <w:p w14:paraId="5284D184" w14:textId="77777777" w:rsidR="00B02174" w:rsidRDefault="00FB2408">
      <w:pPr>
        <w:spacing w:after="100"/>
        <w:ind w:left="200" w:hanging="200"/>
        <w:jc w:val="both"/>
      </w:pPr>
      <w:r>
        <w:rPr>
          <w:sz w:val="18"/>
          <w:szCs w:val="18"/>
        </w:rPr>
        <w:t xml:space="preserve">[2] Shreya and H. Pathak, “Explainable Artificial Intelligence Credit Risk Assessment using Machine Learning,” arXiv:2506.19383, Jun. 2025, </w:t>
      </w:r>
      <w:proofErr w:type="spellStart"/>
      <w:r>
        <w:rPr>
          <w:sz w:val="18"/>
          <w:szCs w:val="18"/>
        </w:rPr>
        <w:t>doi</w:t>
      </w:r>
      <w:proofErr w:type="spellEnd"/>
      <w:r>
        <w:rPr>
          <w:sz w:val="18"/>
          <w:szCs w:val="18"/>
        </w:rPr>
        <w:t>: 10.48550/arXiv.2506.19383.</w:t>
      </w:r>
    </w:p>
    <w:p w14:paraId="4C6697DC" w14:textId="77777777" w:rsidR="00B02174" w:rsidRDefault="00FB2408">
      <w:pPr>
        <w:spacing w:after="100"/>
        <w:ind w:left="200" w:hanging="200"/>
        <w:jc w:val="both"/>
      </w:pPr>
      <w:r>
        <w:rPr>
          <w:sz w:val="18"/>
          <w:szCs w:val="18"/>
        </w:rPr>
        <w:t xml:space="preserve">[3] V. Chang, S. </w:t>
      </w:r>
      <w:proofErr w:type="spellStart"/>
      <w:r>
        <w:rPr>
          <w:sz w:val="18"/>
          <w:szCs w:val="18"/>
        </w:rPr>
        <w:t>Sivakulasingam</w:t>
      </w:r>
      <w:proofErr w:type="spellEnd"/>
      <w:r>
        <w:rPr>
          <w:sz w:val="18"/>
          <w:szCs w:val="18"/>
        </w:rPr>
        <w:t xml:space="preserve">, H. Wang, S. T. Wong, M. A. Ganatra, and J. Luo, “Credit risk prediction using machine learning and deep learning: A study on credit card customers,” Risks, vol. 12, no. 11, p. 174, 2024, </w:t>
      </w:r>
      <w:proofErr w:type="spellStart"/>
      <w:r>
        <w:rPr>
          <w:sz w:val="18"/>
          <w:szCs w:val="18"/>
        </w:rPr>
        <w:t>doi</w:t>
      </w:r>
      <w:proofErr w:type="spellEnd"/>
      <w:r>
        <w:rPr>
          <w:sz w:val="18"/>
          <w:szCs w:val="18"/>
        </w:rPr>
        <w:t>: 10.3390/risks12110174.</w:t>
      </w:r>
    </w:p>
    <w:p w14:paraId="16DCA3C6" w14:textId="77777777" w:rsidR="00B02174" w:rsidRDefault="00FB2408">
      <w:pPr>
        <w:spacing w:after="100"/>
        <w:ind w:left="200" w:hanging="200"/>
        <w:jc w:val="both"/>
      </w:pPr>
      <w:r>
        <w:rPr>
          <w:sz w:val="18"/>
          <w:szCs w:val="18"/>
        </w:rPr>
        <w:t xml:space="preserve">[4] A. </w:t>
      </w:r>
      <w:proofErr w:type="spellStart"/>
      <w:r>
        <w:rPr>
          <w:sz w:val="18"/>
          <w:szCs w:val="18"/>
        </w:rPr>
        <w:t>Akinjole</w:t>
      </w:r>
      <w:proofErr w:type="spellEnd"/>
      <w:r>
        <w:rPr>
          <w:sz w:val="18"/>
          <w:szCs w:val="18"/>
        </w:rPr>
        <w:t xml:space="preserve">, O. </w:t>
      </w:r>
      <w:proofErr w:type="spellStart"/>
      <w:r>
        <w:rPr>
          <w:sz w:val="18"/>
          <w:szCs w:val="18"/>
        </w:rPr>
        <w:t>Shobayo</w:t>
      </w:r>
      <w:proofErr w:type="spellEnd"/>
      <w:r>
        <w:rPr>
          <w:sz w:val="18"/>
          <w:szCs w:val="18"/>
        </w:rPr>
        <w:t xml:space="preserve">, J. Popoola, O. </w:t>
      </w:r>
      <w:proofErr w:type="spellStart"/>
      <w:r>
        <w:rPr>
          <w:sz w:val="18"/>
          <w:szCs w:val="18"/>
        </w:rPr>
        <w:t>Okoyeigbo</w:t>
      </w:r>
      <w:proofErr w:type="spellEnd"/>
      <w:r>
        <w:rPr>
          <w:sz w:val="18"/>
          <w:szCs w:val="18"/>
        </w:rPr>
        <w:t xml:space="preserve">, and B. Ogunleye, “Ensemble-based machine learning algorithm for loan default risk prediction,” Mathematics, vol. 12, no. 21, p. 3423, 2024, </w:t>
      </w:r>
      <w:proofErr w:type="spellStart"/>
      <w:r>
        <w:rPr>
          <w:sz w:val="18"/>
          <w:szCs w:val="18"/>
        </w:rPr>
        <w:t>doi</w:t>
      </w:r>
      <w:proofErr w:type="spellEnd"/>
      <w:r>
        <w:rPr>
          <w:sz w:val="18"/>
          <w:szCs w:val="18"/>
        </w:rPr>
        <w:t>: 10.3390/math12213423.</w:t>
      </w:r>
    </w:p>
    <w:p w14:paraId="29839608" w14:textId="77777777" w:rsidR="00B02174" w:rsidRDefault="00FB2408">
      <w:pPr>
        <w:spacing w:after="100"/>
        <w:ind w:left="200" w:hanging="200"/>
        <w:jc w:val="both"/>
      </w:pPr>
      <w:r>
        <w:rPr>
          <w:sz w:val="18"/>
          <w:szCs w:val="18"/>
        </w:rPr>
        <w:t xml:space="preserve">[5] N. J. Gade and P. L. Kunwar, “A machine learning framework for predictive credit risk assessment and loan default detection,” International Journal of Engineering Research &amp; Technology (IJERT), vol. 14, no. 2, 2026, </w:t>
      </w:r>
      <w:proofErr w:type="spellStart"/>
      <w:r>
        <w:rPr>
          <w:sz w:val="18"/>
          <w:szCs w:val="18"/>
        </w:rPr>
        <w:t>doi</w:t>
      </w:r>
      <w:proofErr w:type="spellEnd"/>
      <w:r>
        <w:rPr>
          <w:sz w:val="18"/>
          <w:szCs w:val="18"/>
        </w:rPr>
        <w:t>: 10.17577/IJERTCONV14IS020014.</w:t>
      </w:r>
    </w:p>
    <w:sectPr w:rsidR="00B02174">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B31C9"/>
    <w:multiLevelType w:val="hybridMultilevel"/>
    <w:tmpl w:val="E938D084"/>
    <w:lvl w:ilvl="0" w:tplc="D8C6E41C">
      <w:start w:val="1"/>
      <w:numFmt w:val="bullet"/>
      <w:lvlText w:val="●"/>
      <w:lvlJc w:val="left"/>
      <w:pPr>
        <w:ind w:left="720" w:hanging="360"/>
      </w:pPr>
    </w:lvl>
    <w:lvl w:ilvl="1" w:tplc="8FB22BBA">
      <w:start w:val="1"/>
      <w:numFmt w:val="bullet"/>
      <w:lvlText w:val="○"/>
      <w:lvlJc w:val="left"/>
      <w:pPr>
        <w:ind w:left="1440" w:hanging="360"/>
      </w:pPr>
    </w:lvl>
    <w:lvl w:ilvl="2" w:tplc="017EAF0A">
      <w:start w:val="1"/>
      <w:numFmt w:val="bullet"/>
      <w:lvlText w:val="■"/>
      <w:lvlJc w:val="left"/>
      <w:pPr>
        <w:ind w:left="2160" w:hanging="360"/>
      </w:pPr>
    </w:lvl>
    <w:lvl w:ilvl="3" w:tplc="A620ADD6">
      <w:start w:val="1"/>
      <w:numFmt w:val="bullet"/>
      <w:lvlText w:val="●"/>
      <w:lvlJc w:val="left"/>
      <w:pPr>
        <w:ind w:left="2880" w:hanging="360"/>
      </w:pPr>
    </w:lvl>
    <w:lvl w:ilvl="4" w:tplc="89C023B0">
      <w:start w:val="1"/>
      <w:numFmt w:val="bullet"/>
      <w:lvlText w:val="○"/>
      <w:lvlJc w:val="left"/>
      <w:pPr>
        <w:ind w:left="3600" w:hanging="360"/>
      </w:pPr>
    </w:lvl>
    <w:lvl w:ilvl="5" w:tplc="5E402F7C">
      <w:start w:val="1"/>
      <w:numFmt w:val="bullet"/>
      <w:lvlText w:val="■"/>
      <w:lvlJc w:val="left"/>
      <w:pPr>
        <w:ind w:left="4320" w:hanging="360"/>
      </w:pPr>
    </w:lvl>
    <w:lvl w:ilvl="6" w:tplc="35CAE52A">
      <w:start w:val="1"/>
      <w:numFmt w:val="bullet"/>
      <w:lvlText w:val="●"/>
      <w:lvlJc w:val="left"/>
      <w:pPr>
        <w:ind w:left="5040" w:hanging="360"/>
      </w:pPr>
    </w:lvl>
    <w:lvl w:ilvl="7" w:tplc="24121D08">
      <w:start w:val="1"/>
      <w:numFmt w:val="bullet"/>
      <w:lvlText w:val="●"/>
      <w:lvlJc w:val="left"/>
      <w:pPr>
        <w:ind w:left="5760" w:hanging="360"/>
      </w:pPr>
    </w:lvl>
    <w:lvl w:ilvl="8" w:tplc="2D4883AA">
      <w:start w:val="1"/>
      <w:numFmt w:val="bullet"/>
      <w:lvlText w:val="●"/>
      <w:lvlJc w:val="left"/>
      <w:pPr>
        <w:ind w:left="6480" w:hanging="360"/>
      </w:pPr>
    </w:lvl>
  </w:abstractNum>
  <w:num w:numId="1" w16cid:durableId="1583879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174"/>
    <w:rsid w:val="003F0D68"/>
    <w:rsid w:val="00733B6C"/>
    <w:rsid w:val="00B02174"/>
    <w:rsid w:val="00FB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77A1"/>
  <w15:docId w15:val="{521F229A-A466-4F37-80CF-DDCA9816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2771</Words>
  <Characters>15796</Characters>
  <Application>Microsoft Office Word</Application>
  <DocSecurity>0</DocSecurity>
  <Lines>131</Lines>
  <Paragraphs>37</Paragraphs>
  <ScaleCrop>false</ScaleCrop>
  <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Rajendra Phalani Kumar</cp:lastModifiedBy>
  <cp:revision>2</cp:revision>
  <dcterms:created xsi:type="dcterms:W3CDTF">2026-09-22T03:29:00Z</dcterms:created>
  <dcterms:modified xsi:type="dcterms:W3CDTF">2026-09-22T03:29:00Z</dcterms:modified>
</cp:coreProperties>
</file>