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Useful Patients: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15 years or greater at ICU admission with at least one assessment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each of GCS(198), BUN(1162), hematocrit(813), and heart rate(211) recorded in the EHR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SIRS: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ITEMID: Temperature 678(F) &gt;101 or &lt;96.8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Temperature 677(C)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Heart Rate 211(BPM) &gt;90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Respiratory Rate</w:t>
      </w:r>
      <w:r w:rsidDel="00000000" w:rsidR="00000000" w:rsidRPr="00000000">
        <w:rPr>
          <w:rtl w:val="0"/>
        </w:rPr>
        <w:t xml:space="preserve"> 618(insp/min) &gt;20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(At leaste two of above happens)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 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Sepsis: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SIRS +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Has at least one of those ICD_9 Code: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001, Cholera; 002, Typhoid/paratyphoid fever; 003, Other salmonella infection; 004, Shigellosis; 005, Other food poisoning; 008, Intestinal infection not otherwise classified; 009, Ill-defined intestinal infection; 010, Primary tuberculosis infection; 011, Pulmonary tuberculosis; 012, Other respiratory tuberculosis; 013, Central nervous system tuberculosis; 014, Intestinal tuberculosis; 015, Tuberculosis of bone and joint; 016, Genitourinary tuberculosis; 017, Tuberculosis not otherwise classified; 018, Miliary tuberculosis; 020, Plague; 021, Tularemia; 022, Anthrax; 023, Brucellosis; 024, Glanders; 025, Melioidosis; 026, Rat-bite fever; 027, Other bacterial zoonoses; 030, Leprosy; 031, Other mycobacterial disease; 032, Diphtheria; 033, Whooping cough; 034, Streptococcal throat/scarlet fever;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035, Erysipelas; 036, Meningococcal infection; 037, Tetanus; 038, Septicemia; 039, Actinomycotic infections; 040, Other bacterial diseases; 041, Bacterial infection in other diseases not otherwise specified; 090, Congenital syphilis; 091, Early symptomatic syphilis; 092, Early syphilis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latent; 093, Cardiovascular syphilis; 094, Neurosyphilis; 095, Other late symptomatic syphilis; 096, Late syphilis latent; 097, Other and unspecified syphilis; 098, Gonococcal infections; 100, Leptospiro-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sis; 101, Vincent’s angina; 102, Yaws; 103, Pinta; 104, Other spirochetal infection; 110, Dermatophytosis; 111, Dermatomy cosis not otherwise classified or specified; 112, Candidiasis; 114, Coccidioidomycosis; 115, Histoplasmosis; 116, Blastomycotic infection; 117, Other mycoses; 118,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Opportunistic mycoses; 320, Bacterial meningitis; 322, Meningitis, unspecified; 324, Central nervous system abscess; 325, Phlebitis of intracranial sinus; 420, Acute pericarditis; 421, Acute or subacute endocarditis; 451, Thrombophlebitis; 461, Acute sinusitis; 462, Acute pharyngitis; 463, Acute tonsillitis; 464, Acute laryngitis/tracheitis; 465, Acute upper respiratory infection of multiple sites/not otherwise specified; 481, Pneumococcal pneumonia; 482, Other bacterial pneumonia; 485, Bronchopneumonia with organism not otherwise specified; 486, Pneumonia, organism not otherwise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specified; 491.21, Acute exacerbation of obstructive chronic bronchitis; 494,Bronchiectasis; 510, Empyema; 513, Lung/mediastinum abscess; 540, Acute appendicitis; 541, Appendicitis not other-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wise specified; 542, Other appendicitis; 562.01, Diverticulitis of small intestine without hemorrhage; 562.03, Diverticulitis of small intestine with hemorrhage; 562.11, Diverticulitis of colon without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hemorrhage; 562.13, Diverticulitis of colon with hemorrhage; 566, Anal and rectal abscess; 567, Peritonitis; 569.5, Intestinal abscess; 569.83, Perforation of intestine; 572.0, Abscess of liver; 572.1,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Portal pyemia; 575.0, Acute cholecystitis; 590, Kidney infection; 597, Urethritis/ urethral syndrome; 599.0, Urinary tract infection not otherwise specified; 601, Prostatic inflammation; 614, Female pelvic inflammation disease; 615, Uterine inflammatory disease; 616, Other female genital inflammation; 681, Cellulitis, finger/toe; 682, Other cellulitis or abscess; 683, Acute lymphadenitis; 686, Other local skin infection; 711.0, Pyogenic arthritis; 730, Osteomyelitis; 790.7, Bacteremia; 996.6, Infection or inflammation of device/graft; 998.5, Postoperative infection; 999.3, Infectious complication of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medical care not otherwise classified.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NOTEEVENTS.csv contains "sepsis"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 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Severe Sepsis: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Sepsis + the presence of any of the following: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systolic blood pressure &lt;90 mmHg; </w:t>
      </w:r>
      <w:r w:rsidDel="00000000" w:rsidR="00000000" w:rsidRPr="00000000">
        <w:rPr>
          <w:color w:val="ff3333"/>
          <w:rtl w:val="0"/>
        </w:rPr>
        <w:t xml:space="preserve">lactate</w:t>
      </w:r>
      <w:r w:rsidDel="00000000" w:rsidR="00000000" w:rsidRPr="00000000">
        <w:rPr>
          <w:rtl w:val="0"/>
        </w:rPr>
        <w:t xml:space="preserve"> &gt; 2.0 mmol/L; urine output &lt; 0.5 mL/kg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3333"/>
          <w:rtl w:val="0"/>
        </w:rPr>
        <w:t xml:space="preserve">over the preceding two hours despite adequate fluid resuscitation</w:t>
      </w:r>
      <w:r w:rsidDel="00000000" w:rsidR="00000000" w:rsidRPr="00000000">
        <w:rPr>
          <w:rtl w:val="0"/>
        </w:rPr>
        <w:t xml:space="preserve">; creatinine &gt; 2.0 mg/dL without the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presence of chronic dialysis or renal insufficiency as indicated by an ICD-9 code of V45.11 or 585.9;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bilirubin &gt; 2 mg/dL without the presence of chronic liver disease and cirrhosis as indicated by an ICD-9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code of 571 and any of the subcodes; platelet count &lt; 100,000 μL; international normalized ratio (INR) 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1.5; acute lung injury with PaO 2 /FiO 2 &lt; 200 in the presence of pneumonia indicated by an ICD-9 code of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486; or acute lung injury with PaO 2 /FiO 2 &lt; 250 in the absence of pneumonia indicated by the absence of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 ICD-9 code of 486.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 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Septic Shock: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Severe Spesis +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SBP less than 90 mmHg for at least 30 min, and received adequate fluid resuscitation, defined as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the total fluid replacement per kilogram over the past 24 hours ≥20 ml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or total fluid replacement ≥1200 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