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ResistanceRadar Pipeline Work Summary</w:t>
      </w:r>
    </w:p>
    <w:p>
      <w:pPr>
        <w:jc w:val="center"/>
      </w:pPr>
      <w:r>
        <w:rPr>
          <w:i/>
          <w:sz w:val="20"/>
        </w:rPr>
        <w:t>Rajen K. Goutam, Ph.D. | Bioinformatics Lead | Stage 3.3 Host-Removal and Next Steps</w:t>
      </w:r>
    </w:p>
    <w:p>
      <w:pPr>
        <w:jc w:val="center"/>
      </w:pPr>
      <w:r>
        <w:rPr>
          <w:sz w:val="18"/>
        </w:rPr>
        <w:t>Prepared as a simple working document for team discussion and pipeline tracking</w:t>
      </w:r>
    </w:p>
    <w:p>
      <w:pPr>
        <w:pStyle w:val="Heading1"/>
      </w:pPr>
      <w:r>
        <w:t>1. Plain-language summary</w:t>
      </w:r>
    </w:p>
    <w:p>
      <w:r>
        <w:rPr>
          <w:b/>
        </w:rPr>
        <w:t xml:space="preserve">What I am doing: </w:t>
      </w:r>
      <w:r>
        <w:t>I am building the bioinformatics foundation of the ResistanceRadar core engine. This means taking raw wastewater metagenomic FASTQ files, cleaning them, removing host/vector contamination, and preparing clean reads for antibiotic resistance gene (ARG) detection and downstream statistical or machine-learning analysis.</w:t>
      </w:r>
    </w:p>
    <w:p>
      <w:r>
        <w:rPr>
          <w:b/>
        </w:rPr>
        <w:t xml:space="preserve">Current focus: </w:t>
      </w:r>
      <w:r>
        <w:t>Stage 3.3, host and contamination removal. The workflow now connects FASTP quality control to Bowtie2 host-removal in Nextflow and produces cleaned paired-end FASTQ files plus a structured tracking table called host_removal_log.tsv.</w:t>
      </w:r>
    </w:p>
    <w:p>
      <w:r>
        <w:rPr>
          <w:b/>
        </w:rPr>
        <w:t xml:space="preserve">Why this matters: </w:t>
      </w:r>
      <w:r>
        <w:t>If contaminant reads are not removed and tracked, the later ARG detection stage may produce noisy or misleading results. The host-removal log also provides variables that the team can use later for statistics, reproducibility, validation, and machine-learning feature tracking.</w:t>
      </w:r>
    </w:p>
    <w:p>
      <w:pPr>
        <w:pStyle w:val="Heading1"/>
      </w:pPr>
      <w:r>
        <w:t>2. My role in ResistanceRadar</w:t>
      </w:r>
    </w:p>
    <w:p>
      <w:r>
        <w:rPr>
          <w:b/>
        </w:rPr>
        <w:t xml:space="preserve">Role title: </w:t>
      </w:r>
      <w:r>
        <w:t>Bioinformatics Lead — Tier 1 + Tier 2 Pipeline Architect.</w:t>
      </w:r>
    </w:p>
    <w:p>
      <w:r>
        <w:rPr>
          <w:b/>
        </w:rPr>
        <w:t xml:space="preserve">Main responsibility: </w:t>
      </w:r>
      <w:r>
        <w:t>I own the raw-read-to-ARG-count bioinformatics layer. This includes FASTP QC, Bowtie2 host/contamination removal, read-based ARG detection, assembly/mobility stages, and the Nextflow orchestration standards that connect these steps.</w:t>
      </w:r>
    </w:p>
    <w:p>
      <w:r>
        <w:t>In practical terms, I am responsible for making sure that every sample moves through the pipeline in a reproducible way, with pinned tools, clear file paths, structured outputs, and trackable variables. Downstream statistical and AI/ML work depends on these cleaned and standardized outputs.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Area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My ownership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Why it matters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 3.2 FASTP QC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Primary owner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adapters and low-quality bases; produces QC metrics such as reads retained, Q20/Q30, GC content, adapter rate, and duplication rate.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 3.3 Bowtie2 host-removal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Primary owner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human/vector/known contaminant reads and records mapped/unmapped read counts for quality tracking.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 3.4 ARG detection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Primary owner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Runs CARD/RGI or DIAMOND/CARD, AMRFinderPlus, and EBI AMR detection; produces ARG hit tables for later analysis.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 3.5 assembly and mobility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Primary owner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Uses assembly and mobility classification to identify ARG-bearing contigs and whether genes are plasmid/chromosomal/viral.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Pipeline orchestration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Architectural authority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Defines Nextflow DSL2 structure, reproducibility conventions, reference management, logging, and Git workflow.</w:t>
            </w:r>
          </w:p>
        </w:tc>
      </w:tr>
    </w:tbl>
    <w:p>
      <w:pPr>
        <w:pStyle w:val="Heading1"/>
      </w:pPr>
      <w:r>
        <w:t>3. Working environment and repository locations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Item</w:t>
            </w:r>
          </w:p>
        </w:tc>
        <w:tc>
          <w:tcPr>
            <w:tcW w:type="dxa" w:w="5112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HPC project path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/rsstu/users/s/sleblan/MismatchRepair/Project/pipeline/rr-pipeline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Conda environment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/rsstu/users/s/sleblan/MismatchRepair/Project/envs/rr_meta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Modules loaded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java/17 and nextflow/25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Branch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rajen-fastp-module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Official upstream repo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https://github.com/TriAxis-RR/ResistanceRadar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My fork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https://github.com/rajengoutam222-source/ResistanceRadar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Local Windows repo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C:\Projects\ResistanceRadar</w:t>
            </w:r>
          </w:p>
        </w:tc>
      </w:tr>
    </w:tbl>
    <w:p>
      <w:pPr>
        <w:pStyle w:val="Heading3"/>
      </w:pPr>
      <w:r>
        <w:t>Core setup commands:</w:t>
      </w:r>
    </w:p>
    <w:p>
      <w:r>
        <w:rPr>
          <w:rFonts w:ascii="Courier New" w:hAnsi="Courier New" w:eastAsia="Courier New"/>
          <w:sz w:val="18"/>
        </w:rPr>
        <w:t>cd /rsstu/users/s/sleblan/MismatchRepair/Project/pipeline/rr-pipeline</w:t>
        <w:br/>
        <w:t>conda activate /rsstu/users/s/sleblan/MismatchRepair/Project/envs/rr_meta</w:t>
        <w:br/>
        <w:t>module load java/17</w:t>
        <w:br/>
        <w:t>module load nextflow/25</w:t>
      </w:r>
    </w:p>
    <w:p>
      <w:pPr>
        <w:pStyle w:val="Heading1"/>
      </w:pPr>
      <w:r>
        <w:t>4. Stage 3.3: what is happening and why</w:t>
      </w:r>
    </w:p>
    <w:p>
      <w:r>
        <w:t>Stage 3.3 is the host and contamination removal step. It takes FASTP-cleaned reads and aligns them against a decontamination reference using Bowtie2. Reads that map to the reference are treated as host/vector/known contaminant reads. Reads that do not map are kept as clean reads for ARG detection.</w:t>
      </w:r>
    </w:p>
    <w:p>
      <w:pPr>
        <w:pStyle w:val="Heading3"/>
      </w:pPr>
      <w:r>
        <w:t>Stage 3.3 flow:</w:t>
      </w:r>
    </w:p>
    <w:p>
      <w:r>
        <w:rPr>
          <w:rFonts w:ascii="Courier New" w:hAnsi="Courier New" w:eastAsia="Courier New"/>
          <w:sz w:val="18"/>
        </w:rPr>
        <w:t>Raw FASTQ</w:t>
        <w:br/>
        <w:t xml:space="preserve">  -&gt; FASTP quality control</w:t>
        <w:br/>
        <w:t xml:space="preserve">  -&gt; Bowtie2 host/contamination removal</w:t>
        <w:br/>
        <w:t xml:space="preserve">  -&gt; Clean paired FASTQ files</w:t>
        <w:br/>
        <w:t xml:space="preserve">  -&gt; Stage 3.4 ARG detection</w:t>
      </w:r>
    </w:p>
    <w:p>
      <w:r>
        <w:t>Why each reference is included in the production decontamination index: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Reference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Purpose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Reason for inclusion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GRCh38.p14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Human genome reference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human-derived DNA reads, which is especially important for wastewater and hospital-effluent samples.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PhiX174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Sequencing spike-in/control genome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common Illumina control contamination.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pUC19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Common cloning plasmid/vector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common lab vector sequences.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pBR322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Common cloning plasmid/vector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common lab vector sequences.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UniVec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NCBI vector database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Removes a broad set of vector, adapter, and cloning-sequence contaminants.</w:t>
            </w:r>
          </w:p>
        </w:tc>
      </w:tr>
    </w:tbl>
    <w:p>
      <w:pPr>
        <w:pStyle w:val="Heading1"/>
      </w:pPr>
      <w:r>
        <w:t>5. Completed work so far</w:t>
      </w:r>
    </w:p>
    <w:p>
      <w:pPr>
        <w:pStyle w:val="ListBullet"/>
      </w:pPr>
      <w:r>
        <w:t>Created and activated the rr_meta environment.</w:t>
      </w:r>
    </w:p>
    <w:p>
      <w:pPr>
        <w:pStyle w:val="ListBullet"/>
      </w:pPr>
      <w:r>
        <w:t>Installed and verified fastp, Bowtie2 2.5.3, and samtools.</w:t>
      </w:r>
    </w:p>
    <w:p>
      <w:pPr>
        <w:pStyle w:val="ListBullet"/>
      </w:pPr>
      <w:r>
        <w:t>Built the FASTP Nextflow DSL2 module.</w:t>
      </w:r>
    </w:p>
    <w:p>
      <w:pPr>
        <w:pStyle w:val="ListBullet"/>
      </w:pPr>
      <w:r>
        <w:t>Added sample-sheet input using tests/samplesheets/erp015409_samples.csv.</w:t>
      </w:r>
    </w:p>
    <w:p>
      <w:pPr>
        <w:pStyle w:val="ListBullet"/>
      </w:pPr>
      <w:r>
        <w:t>Validated FASTP on ERP015409 sample ERR1713332.</w:t>
      </w:r>
    </w:p>
    <w:p>
      <w:pPr>
        <w:pStyle w:val="ListBullet"/>
      </w:pPr>
      <w:r>
        <w:t>Built a PhiX-only test decontamination reference and Bowtie2 index.</w:t>
      </w:r>
    </w:p>
    <w:p>
      <w:pPr>
        <w:pStyle w:val="ListBullet"/>
      </w:pPr>
      <w:r>
        <w:t>Created scripts/prepare_decontamination_test_reference.sh.</w:t>
      </w:r>
    </w:p>
    <w:p>
      <w:pPr>
        <w:pStyle w:val="ListBullet"/>
      </w:pPr>
      <w:r>
        <w:t>Created scripts/build_decontamination_index.sh.</w:t>
      </w:r>
    </w:p>
    <w:p>
      <w:pPr>
        <w:pStyle w:val="ListBullet"/>
      </w:pPr>
      <w:r>
        <w:t>Created modules/bowtie2/main.nf.</w:t>
      </w:r>
    </w:p>
    <w:p>
      <w:pPr>
        <w:pStyle w:val="ListBullet"/>
      </w:pPr>
      <w:r>
        <w:t>Wired FASTP output into Bowtie2 host-removal in main.nf.</w:t>
      </w:r>
    </w:p>
    <w:p>
      <w:pPr>
        <w:pStyle w:val="ListBullet"/>
      </w:pPr>
      <w:r>
        <w:t>Fixed Bowtie2 unmapped output naming: Bowtie2 outputs sample_clean.fastq.1.gz and sample_clean.fastq.2.gz.</w:t>
      </w:r>
    </w:p>
    <w:p>
      <w:pPr>
        <w:pStyle w:val="ListBullet"/>
      </w:pPr>
      <w:r>
        <w:t>Validated FASTP -&gt; Bowtie2 workflow in Nextflow with FASTP cached and Bowtie2 successful.</w:t>
      </w:r>
    </w:p>
    <w:p>
      <w:pPr>
        <w:pStyle w:val="ListBullet"/>
      </w:pPr>
      <w:r>
        <w:t>Improved host_removal_log.tsv so it captures analysis-ready variables for later statistics and machine learning.</w:t>
      </w:r>
    </w:p>
    <w:p>
      <w:pPr>
        <w:pStyle w:val="ListBullet"/>
      </w:pPr>
      <w:r>
        <w:t>Created scripts/prepare_decontamination_v1_reference.sh to prepare the production reference FASTA.</w:t>
      </w:r>
    </w:p>
    <w:p>
      <w:pPr>
        <w:pStyle w:val="ListBullet"/>
      </w:pPr>
      <w:r>
        <w:t>Successfully generated the production combined FASTA: decontamination_v1.0.fa, size approximately 3.2 GB.</w:t>
      </w:r>
    </w:p>
    <w:p>
      <w:pPr>
        <w:pStyle w:val="ListBullet"/>
      </w:pPr>
      <w:r>
        <w:t>Generated manifest and SHA256 checksum for the production reference FASTA.</w:t>
      </w:r>
    </w:p>
    <w:p>
      <w:pPr>
        <w:pStyle w:val="Heading1"/>
      </w:pPr>
      <w:r>
        <w:t>6. Variables tracked in host_removal_log.tsv</w:t>
      </w:r>
    </w:p>
    <w:p>
      <w:r>
        <w:t>The improved Bowtie2 host-removal log records both method tags and read-count variables. These are important because the same variables can be used later for QC, reproducibility, statistical modeling, and machine-learning covariates.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Variable</w:t>
            </w:r>
          </w:p>
        </w:tc>
        <w:tc>
          <w:tcPr>
            <w:tcW w:type="dxa" w:w="5112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sample_id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Sample identifier.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Pipeline stage, currently host_removal.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tool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used, currently bowtie2.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tool_version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 version, currently 2.5.3.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bowtie2_mode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Paired-end mode.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bowtie2_preset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 preset, very_sensitive_local.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decontamination_reference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Reference label, e.g., PhiX_test or production v1.0.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bowtie2_index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Full path to the Bowtie2 index used.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input_read_pairs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Read pairs entering Bowtie2 after FASTP.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concordantly_unmapped_pairs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Read pairs not mapping to the decontamination reference; these are retained as clean pairs.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concordantly_mapped_once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Read pairs mapping once to the decontamination reference.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concordantly_mapped_multi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Read pairs mapping more than once to the decontamination reference.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overall_alignment_rate_percent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 overall alignment rate.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percent_removed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Percent of reads removed as host/contaminant; currently equal to Bowtie2 overall alignment rate.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final_clean_read_pairs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clean paired reads retained for ARG detection.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clean_R1 and clean_R2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Output FASTQ filenames used by the next pipeline stage.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 completion status.</w:t>
            </w:r>
          </w:p>
        </w:tc>
      </w:tr>
    </w:tbl>
    <w:p>
      <w:pPr>
        <w:pStyle w:val="Heading1"/>
      </w:pPr>
      <w:r>
        <w:t>7. Key scripts and what they 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Script/file</w:t>
            </w:r>
          </w:p>
        </w:tc>
        <w:tc>
          <w:tcPr>
            <w:tcW w:type="dxa" w:w="5112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scripts/prepare_decontamination_test_reference.sh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Builds a small PhiX-only test reference to verify Bowtie2 workflow wiring before production reference construction.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scripts/prepare_decontamination_v1_reference.sh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Downloads/prepares GRCh38.p14, PhiX174, pUC19, pBR322, and UniVec, then concatenates them into decontamination_v1.0.fa and writes a manifest/SHA256 checksum.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scripts/build_decontamination_index.sh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Builds the Bowtie2 production index from decontamination_v1.0.fa. This is the command: bash scripts/build_decontamination_index.sh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modules/bowtie2/main.nf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Nextflow module that runs Bowtie2, collects clean read pairs, renames Bowtie2 output FASTQs correctly, and writes host_removal_log.tsv.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main.nf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Root Nextflow workflow that wires sample-sheet input, FASTP, and Bowtie2 host-removal.</w:t>
            </w:r>
          </w:p>
        </w:tc>
      </w:tr>
    </w:tbl>
    <w:p>
      <w:pPr>
        <w:pStyle w:val="Heading1"/>
      </w:pPr>
      <w:r>
        <w:t>8. Current command and next commands</w:t>
      </w:r>
    </w:p>
    <w:p>
      <w:r>
        <w:t>The production combined FASTA has already been prepared. The next step is to build the Bowtie2 production index:</w:t>
      </w:r>
    </w:p>
    <w:p>
      <w:r>
        <w:rPr>
          <w:rFonts w:ascii="Courier New" w:hAnsi="Courier New" w:eastAsia="Courier New"/>
          <w:b/>
          <w:sz w:val="18"/>
        </w:rPr>
        <w:t>bash scripts/build_decontamination_index.sh</w:t>
      </w:r>
    </w:p>
    <w:p>
      <w:r>
        <w:t>After the index finishes, check that the .bt2 index files exist:</w:t>
      </w:r>
    </w:p>
    <w:p>
      <w:r>
        <w:rPr>
          <w:rFonts w:ascii="Courier New" w:hAnsi="Courier New" w:eastAsia="Courier New"/>
          <w:sz w:val="18"/>
        </w:rPr>
        <w:t>ls -lh /rsstu/users/s/sleblan/MismatchRepair/Project/references/decontamination/v1.0/decontamination_v1.0*.bt2*</w:t>
      </w:r>
    </w:p>
    <w:p>
      <w:r>
        <w:t>Then update modules/bowtie2/main.nf so INDEX points to the production index prefix:</w:t>
      </w:r>
    </w:p>
    <w:p>
      <w:r>
        <w:rPr>
          <w:rFonts w:ascii="Courier New" w:hAnsi="Courier New" w:eastAsia="Courier New"/>
          <w:sz w:val="18"/>
        </w:rPr>
        <w:t>INDEX=/rsstu/users/s/sleblan/MismatchRepair/Project/references/decontamination/v1.0/decontamination_v1.0</w:t>
      </w:r>
    </w:p>
    <w:p>
      <w:r>
        <w:t>The decontamination_reference tag should also change from PhiX_test to production_v1.0 or GRCh38_PhiX174_pUC19_pBR322_UniVec.</w:t>
      </w:r>
    </w:p>
    <w:p>
      <w:pPr>
        <w:pStyle w:val="Heading1"/>
      </w:pPr>
      <w:r>
        <w:t>9. Git and GitHub workflow</w:t>
      </w:r>
    </w:p>
    <w:p>
      <w:r>
        <w:t>Because I do not have direct write access to the official upstream repository, I push to my fork and use a pull request to the upstream repository.</w:t>
      </w:r>
    </w:p>
    <w:p>
      <w:r>
        <w:rPr>
          <w:rFonts w:ascii="Courier New" w:hAnsi="Courier New" w:eastAsia="Courier New"/>
          <w:sz w:val="16"/>
        </w:rPr>
        <w:t># On HPC, commit changes</w:t>
        <w:br/>
        <w:t>cd /rsstu/users/s/sleblan/MismatchRepair/Project/pipeline/rr-pipeline</w:t>
        <w:br/>
        <w:t>git status</w:t>
        <w:br/>
        <w:t>git add &lt;changed_files&gt;</w:t>
        <w:br/>
        <w:t>git commit -m "Clear commit message"</w:t>
        <w:br/>
        <w:t>git status</w:t>
        <w:br/>
        <w:br/>
        <w:t># To push to GitHub, copy changed files to local Windows repo</w:t>
        <w:br/>
        <w:t>cd C:\Projects\ResistanceRadar</w:t>
        <w:br/>
        <w:t>git checkout rajen-fastp-module</w:t>
        <w:br/>
        <w:t>git status</w:t>
        <w:br/>
        <w:t># copy files from HPC using scp, then:</w:t>
        <w:br/>
        <w:t>git add &lt;changed_files&gt;</w:t>
        <w:br/>
        <w:t>git commit -m "Clear commit message"</w:t>
        <w:br/>
        <w:t>git push</w:t>
      </w:r>
    </w:p>
    <w:p>
      <w:pPr>
        <w:pStyle w:val="Heading1"/>
      </w:pPr>
      <w:r>
        <w:t>10. NSF/Hendriksen sensitivity task</w:t>
      </w:r>
    </w:p>
    <w:p>
      <w:r>
        <w:t>In parallel with pipeline completion, the NSF pitch requires a defensible preliminary analysis: an ARG detection sensitivity figure on the Hendriksen reanalysis using CARD/RGI. The plain-language interpretation is: use the Hendriksen wastewater metagenomic data as the test dataset, run the ResistanceRadar CARD/RGI detection workflow, and calculate how many published Hendriksen ARG calls are recovered by our workflow.</w:t>
      </w:r>
    </w:p>
    <w:p>
      <w:pPr>
        <w:pStyle w:val="ListNumber"/>
      </w:pPr>
      <w:r>
        <w:t>Define the Hendriksen sample subset, starting with the agreed 10-sample subset if that is the team priority.</w:t>
      </w:r>
    </w:p>
    <w:p>
      <w:pPr>
        <w:pStyle w:val="ListNumber"/>
      </w:pPr>
      <w:r>
        <w:t>Define the reference/truth set from published Hendriksen supplementary AMR gene/class tables.</w:t>
      </w:r>
    </w:p>
    <w:p>
      <w:pPr>
        <w:pStyle w:val="ListNumber"/>
      </w:pPr>
      <w:r>
        <w:t>Run CARD/RGI or DIAMOND/CARD on the same raw FASTQ samples after FASTP and host-removal.</w:t>
      </w:r>
    </w:p>
    <w:p>
      <w:pPr>
        <w:pStyle w:val="ListNumber"/>
      </w:pPr>
      <w:r>
        <w:t>Match detected ARGs to the reference set by gene, gene family, and/or drug class using a documented matching rule.</w:t>
      </w:r>
    </w:p>
    <w:p>
      <w:pPr>
        <w:pStyle w:val="ListNumber"/>
      </w:pPr>
      <w:r>
        <w:t>Calculate sensitivity as recovered reference ARGs divided by total evaluated reference ARGs.</w:t>
      </w:r>
    </w:p>
    <w:p>
      <w:pPr>
        <w:pStyle w:val="ListNumber"/>
      </w:pPr>
      <w:r>
        <w:t>Generate a sensitivity figure and a short methods note with exact database versions, tool versions, parameters, and formula.</w:t>
      </w:r>
    </w:p>
    <w:p>
      <w:pPr>
        <w:pStyle w:val="Heading1"/>
      </w:pPr>
      <w:r>
        <w:t>11. Status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Component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Current status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Next action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FASTP QC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Working and validated on ERR1713332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Later summarize FASTP JSON into ML-ready QC table.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Bowtie2 test reference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Working with PhiX-only reference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Keep as lightweight CI/test reference.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host_removal_log.tsv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Working and tracking useful variables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Use same schema with production reference.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Production reference FASTA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Prepared successfully; 3.2 GB combined FASTA created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 Bowtie2 production index.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Production Bowtie2 index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 yet built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Run bash scripts/build_decontamination_index.sh.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 3.3 completion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Close, but not fully complete until production index is used and verified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 index, update module, rerun Nextflow, verify outputs.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Stage 3.4 ARG detection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 started in pipeline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Start after Stage 3.3 production validation; begin CARD/RGI first.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NSF sensitivity figure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Planned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Start Hendriksen/CARD-RGI benchmark after Stage 3.3 production checkpoint.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ResistanceRadar internal working summary | Rajen K. Goutam | Stage 3.3 and role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