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Override ContentType="application/vnd.openxmlformats-officedocument.wordprocessingml.header+xml" PartName="/word/head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Segoe UI" w:cs="Segoe UI" w:eastAsia="Segoe UI" w:hAnsi="Segoe UI"/>
          <w:b/>
          <w:bCs/>
          <w:color w:val="B11F4B"/>
          <w:spacing w:val="50"/>
          <w:sz w:val="18"/>
          <w:szCs w:val="18"/>
        </w:rPr>
        <w:t xml:space="preserve">ARCHITECTURE  ·  DESIGN  ·  MVP  SCOPE</w:t>
      </w:r>
    </w:p>
    <w:p>
      <w:pPr>
        <w:spacing w:after="40" w:before="120"/>
      </w:pPr>
      <w:r>
        <w:rPr>
          <w:rFonts w:ascii="Segoe UI" w:cs="Segoe UI" w:eastAsia="Segoe UI" w:hAnsi="Segoe UI"/>
          <w:b/>
          <w:bCs/>
          <w:color w:val="1F3A5F"/>
          <w:sz w:val="48"/>
          <w:szCs w:val="48"/>
        </w:rPr>
        <w:t xml:space="preserve">Executive Time Management Copilot</w:t>
      </w:r>
    </w:p>
    <w:p>
      <w:pPr>
        <w:spacing w:after="160" w:before="40" w:line="264"/>
      </w:pPr>
      <w:r>
        <w:rPr>
          <w:rFonts w:ascii="Segoe UI" w:cs="Segoe UI" w:eastAsia="Segoe UI" w:hAnsi="Segoe UI"/>
          <w:color w:val="3A3A3A"/>
          <w:sz w:val="22"/>
          <w:szCs w:val="22"/>
        </w:rPr>
        <w:t xml:space="preserve">An agentic prototype that turns fragmented meeting requests into qualified, context-rich, ranked and explainable recommendations — while the Executive Assistant retains authority over every consequential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11F4B" w:sz="4"/>
              <w:left w:val="single" w:color="B11F4B" w:sz="18"/>
              <w:bottom w:val="single" w:color="B11F4B" w:sz="4"/>
              <w:right w:val="single" w:color="B11F4B" w:sz="4"/>
            </w:tcBorders>
            <w:shd w:fill="FBF7F8" w:color="auto" w:val="clear"/>
            <w:tcMar>
              <w:top w:type="dxa" w:w="120"/>
              <w:left w:type="dxa" w:w="150"/>
              <w:bottom w:type="dxa" w:w="120"/>
              <w:right w:type="dxa" w:w="150"/>
            </w:tcMar>
          </w:tcPr>
          <w:p>
            <w:pPr>
              <w:spacing w:after="50"/>
            </w:pPr>
            <w:r>
              <w:rPr>
                <w:rFonts w:ascii="Segoe UI" w:cs="Segoe UI" w:eastAsia="Segoe UI" w:hAnsi="Segoe UI"/>
                <w:b/>
                <w:bCs/>
                <w:color w:val="B11F4B"/>
                <w:sz w:val="20"/>
                <w:szCs w:val="20"/>
              </w:rPr>
              <w:t xml:space="preserve">The one-sentence design constraint</w:t>
            </w:r>
          </w:p>
          <w:p>
            <w:pPr>
              <w:spacing w:after="30" w:line="258"/>
            </w:pPr>
            <w:r>
              <w:rPr>
                <w:rFonts w:ascii="Segoe UI" w:cs="Segoe UI" w:eastAsia="Segoe UI" w:hAnsi="Segoe UI"/>
                <w:sz w:val="19"/>
                <w:szCs w:val="19"/>
              </w:rPr>
              <w:t xml:space="preserve">The agent may observe, research, qualify, recommend and draft. It may not accept, decline, cancel, move or send an executive meeting invitation. Every calendar write is preceded by a recorded EA approval event.</w:t>
            </w:r>
          </w:p>
          <w:p>
            <w:pPr>
              <w:spacing w:after="30" w:line="258"/>
            </w:pPr>
            <w:r>
              <w:rPr>
                <w:rFonts w:ascii="Segoe UI" w:cs="Segoe UI" w:eastAsia="Segoe UI" w:hAnsi="Segoe UI"/>
                <w:sz w:val="19"/>
                <w:szCs w:val="19"/>
              </w:rPr>
              <w:t xml:space="preserve">Agreed terminal action: an unsent draft event. That is the furthest the agent goes in the MVP — sending remains a separate, explicit EA step.</w:t>
            </w:r>
          </w:p>
        </w:tc>
      </w:tr>
    </w:tbl>
    <w:p>
      <w:pPr>
        <w:spacing w:after="140" w:before="40" w:line="264"/>
      </w:pPr>
      <w:r>
        <w:rPr>
          <w:rFonts w:ascii="Segoe UI" w:cs="Segoe UI" w:eastAsia="Segoe UI" w:hAnsi="Segoe UI"/>
          <w:color w:val="242424"/>
          <w:sz w:val="20"/>
          <w:szCs w:val="20"/>
        </w:rPr>
        <w:t xml:space="preserve"/>
      </w:r>
    </w:p>
    <w:p>
      <w:pPr>
        <w:pStyle w:val="Heading1"/>
        <w:spacing w:after="100" w:before="60"/>
      </w:pPr>
      <w:r>
        <w:rPr>
          <w:rFonts w:ascii="Segoe UI" w:cs="Segoe UI" w:eastAsia="Segoe UI" w:hAnsi="Segoe UI"/>
          <w:b/>
          <w:bCs/>
          <w:color w:val="1F3A5F"/>
          <w:sz w:val="30"/>
          <w:szCs w:val="30"/>
        </w:rPr>
        <w:t xml:space="preserve">1.  What the prototype proves</w:t>
      </w:r>
    </w:p>
    <w:p>
      <w:pPr>
        <w:spacing w:after="100" w:before="40" w:line="264"/>
      </w:pPr>
      <w:r>
        <w:rPr>
          <w:rFonts w:ascii="Segoe UI" w:cs="Segoe UI" w:eastAsia="Segoe UI" w:hAnsi="Segoe UI"/>
          <w:color w:val="242424"/>
          <w:sz w:val="20"/>
          <w:szCs w:val="20"/>
        </w:rPr>
        <w:t xml:space="preserve">Three workflows, chosen because together they cover intake quality, decision complexity and governed learning.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
            <w:tcBorders>
              <w:top w:val="single" w:color="D6D6D2" w:sz="4"/>
              <w:left w:val="single" w:color="D6D6D2" w:sz="4"/>
              <w:bottom w:val="single" w:color="D6D6D2" w:sz="4"/>
              <w:right w:val="single" w:color="D6D6D2" w:sz="4"/>
            </w:tcBorders>
            <w:shd w:fill="1F3A5F"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w:t>
            </w:r>
          </w:p>
        </w:tc>
        <w:tc>
          <w:tcPr>
            <w:tcW w:type="pct" w:w="30%"/>
            <w:tcBorders>
              <w:top w:val="single" w:color="D6D6D2" w:sz="4"/>
              <w:left w:val="single" w:color="D6D6D2" w:sz="4"/>
              <w:bottom w:val="single" w:color="D6D6D2" w:sz="4"/>
              <w:right w:val="single" w:color="D6D6D2" w:sz="4"/>
            </w:tcBorders>
            <w:shd w:fill="1F3A5F"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MVP scenario</w:t>
            </w:r>
          </w:p>
        </w:tc>
        <w:tc>
          <w:tcPr>
            <w:tcW w:type="pct" w:w="65%"/>
            <w:tcBorders>
              <w:top w:val="single" w:color="D6D6D2" w:sz="4"/>
              <w:left w:val="single" w:color="D6D6D2" w:sz="4"/>
              <w:bottom w:val="single" w:color="D6D6D2" w:sz="4"/>
              <w:right w:val="single" w:color="D6D6D2" w:sz="4"/>
            </w:tcBorders>
            <w:shd w:fill="1F3A5F"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What it demonstrates</w:t>
            </w:r>
          </w:p>
        </w:tc>
      </w:tr>
      <w:tr>
        <w:tc>
          <w:tcPr>
            <w:tcW w:type="pct" w:w="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1</w:t>
            </w:r>
          </w:p>
        </w:tc>
        <w:tc>
          <w:tcPr>
            <w:tcW w:type="pct" w:w="3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Qualified single-executive scheduling</w:t>
            </w:r>
          </w:p>
        </w:tc>
        <w:tc>
          <w:tcPr>
            <w:tcW w:type="pct" w:w="6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An incomplete request is qualified by the agent without EA involvement, enriched with authorised context, and returned as three ranked, explained options</w:t>
            </w:r>
          </w:p>
        </w:tc>
      </w:tr>
      <w:tr>
        <w:tc>
          <w:tcPr>
            <w:tcW w:type="pct" w:w="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2</w:t>
            </w:r>
          </w:p>
        </w:tc>
        <w:tc>
          <w:tcPr>
            <w:tcW w:type="pct" w:w="3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Multi-executive strategic scheduling</w:t>
            </w:r>
          </w:p>
        </w:tc>
        <w:tc>
          <w:tcPr>
            <w:tcW w:type="pct" w:w="6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Conflict-aware coordination across several constrained calendars, with hard constraints eliminating options and trade-offs shown rather than actioned</w:t>
            </w:r>
          </w:p>
        </w:tc>
      </w:tr>
      <w:tr>
        <w:tc>
          <w:tcPr>
            <w:tcW w:type="pct" w:w="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3</w:t>
            </w:r>
          </w:p>
        </w:tc>
        <w:tc>
          <w:tcPr>
            <w:tcW w:type="pct" w:w="3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EA feedback-to-preference learning</w:t>
            </w:r>
          </w:p>
        </w:tc>
        <w:tc>
          <w:tcPr>
            <w:tcW w:type="pct" w:w="6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Repeated EA corrections become a proposed preference rule that changes nothing until an authorised person approves it — then visibly changes the next recommendation</w:t>
            </w:r>
          </w:p>
        </w:tc>
      </w:tr>
    </w:tbl>
    <w:p>
      <w:pPr>
        <w:pStyle w:val="Heading2"/>
        <w:spacing w:after="80" w:before="190"/>
      </w:pPr>
      <w:r>
        <w:rPr>
          <w:rFonts w:ascii="Segoe UI" w:cs="Segoe UI" w:eastAsia="Segoe UI" w:hAnsi="Segoe UI"/>
          <w:b/>
          <w:bCs/>
          <w:color w:val="2E5C8A"/>
          <w:sz w:val="23"/>
          <w:szCs w:val="23"/>
        </w:rPr>
        <w:t xml:space="preserve">1.1  In scope</w:t>
      </w:r>
    </w:p>
    <w:p>
      <w:pPr>
        <w:pStyle w:val="ListParagraph"/>
        <w:numPr>
          <w:ilvl w:val="0"/>
          <w:numId w:val="1"/>
        </w:numPr>
        <w:spacing w:after="40" w:before="20" w:line="258"/>
      </w:pPr>
      <w:r>
        <w:rPr>
          <w:rFonts w:ascii="Segoe UI" w:cs="Segoe UI" w:eastAsia="Segoe UI" w:hAnsi="Segoe UI"/>
          <w:color w:val="242424"/>
          <w:sz w:val="20"/>
          <w:szCs w:val="20"/>
        </w:rPr>
        <w:t xml:space="preserve">Single request funnel through Teams and/or a web portal, with a standardised request schema and status tracking.</w:t>
      </w:r>
    </w:p>
    <w:p>
      <w:pPr>
        <w:pStyle w:val="ListParagraph"/>
        <w:numPr>
          <w:ilvl w:val="0"/>
          <w:numId w:val="1"/>
        </w:numPr>
        <w:spacing w:after="40" w:before="20" w:line="258"/>
      </w:pPr>
      <w:r>
        <w:rPr>
          <w:rFonts w:ascii="Segoe UI" w:cs="Segoe UI" w:eastAsia="Segoe UI" w:hAnsi="Segoe UI"/>
          <w:color w:val="242424"/>
          <w:sz w:val="20"/>
          <w:szCs w:val="20"/>
        </w:rPr>
        <w:t xml:space="preserve">Automated qualification and follow-up for missing information.</w:t>
      </w:r>
    </w:p>
    <w:p>
      <w:pPr>
        <w:pStyle w:val="ListParagraph"/>
        <w:numPr>
          <w:ilvl w:val="0"/>
          <w:numId w:val="1"/>
        </w:numPr>
        <w:spacing w:after="40" w:before="20" w:line="258"/>
      </w:pPr>
      <w:r>
        <w:rPr>
          <w:rFonts w:ascii="Segoe UI" w:cs="Segoe UI" w:eastAsia="Segoe UI" w:hAnsi="Segoe UI"/>
          <w:color w:val="242424"/>
          <w:sz w:val="20"/>
          <w:szCs w:val="20"/>
        </w:rPr>
        <w:t xml:space="preserve">Executive profile setup and governed preference management.</w:t>
      </w:r>
    </w:p>
    <w:p>
      <w:pPr>
        <w:pStyle w:val="ListParagraph"/>
        <w:numPr>
          <w:ilvl w:val="0"/>
          <w:numId w:val="1"/>
        </w:numPr>
        <w:spacing w:after="40" w:before="20" w:line="258"/>
      </w:pPr>
      <w:r>
        <w:rPr>
          <w:rFonts w:ascii="Segoe UI" w:cs="Segoe UI" w:eastAsia="Segoe UI" w:hAnsi="Segoe UI"/>
          <w:color w:val="242424"/>
          <w:sz w:val="20"/>
          <w:szCs w:val="20"/>
        </w:rPr>
        <w:t xml:space="preserve">Authorised calendar availability analysis and context retrieval from approved Microsoft 365 sources.</w:t>
      </w:r>
    </w:p>
    <w:p>
      <w:pPr>
        <w:pStyle w:val="ListParagraph"/>
        <w:numPr>
          <w:ilvl w:val="0"/>
          <w:numId w:val="1"/>
        </w:numPr>
        <w:spacing w:after="40" w:before="20" w:line="258"/>
      </w:pPr>
      <w:r>
        <w:rPr>
          <w:rFonts w:ascii="Segoe UI" w:cs="Segoe UI" w:eastAsia="Segoe UI" w:hAnsi="Segoe UI"/>
          <w:color w:val="242424"/>
          <w:sz w:val="20"/>
          <w:szCs w:val="20"/>
        </w:rPr>
        <w:t xml:space="preserve">Priority recommendation from explicit rules, hierarchy and request context.</w:t>
      </w:r>
    </w:p>
    <w:p>
      <w:pPr>
        <w:pStyle w:val="ListParagraph"/>
        <w:numPr>
          <w:ilvl w:val="0"/>
          <w:numId w:val="1"/>
        </w:numPr>
        <w:spacing w:after="40" w:before="20" w:line="258"/>
      </w:pPr>
      <w:r>
        <w:rPr>
          <w:rFonts w:ascii="Segoe UI" w:cs="Segoe UI" w:eastAsia="Segoe UI" w:hAnsi="Segoe UI"/>
          <w:color w:val="242424"/>
          <w:sz w:val="20"/>
          <w:szCs w:val="20"/>
        </w:rPr>
        <w:t xml:space="preserve">Ranked single- and multi-executive options with travel and location constraints.</w:t>
      </w:r>
    </w:p>
    <w:p>
      <w:pPr>
        <w:pStyle w:val="ListParagraph"/>
        <w:numPr>
          <w:ilvl w:val="0"/>
          <w:numId w:val="1"/>
        </w:numPr>
        <w:spacing w:after="40" w:before="20" w:line="258"/>
      </w:pPr>
      <w:r>
        <w:rPr>
          <w:rFonts w:ascii="Segoe UI" w:cs="Segoe UI" w:eastAsia="Segoe UI" w:hAnsi="Segoe UI"/>
          <w:color w:val="242424"/>
          <w:sz w:val="20"/>
          <w:szCs w:val="20"/>
        </w:rPr>
        <w:t xml:space="preserve">EA review workbench: approve, edit, reject, return for information, regenerate.</w:t>
      </w:r>
    </w:p>
    <w:p>
      <w:pPr>
        <w:pStyle w:val="ListParagraph"/>
        <w:numPr>
          <w:ilvl w:val="0"/>
          <w:numId w:val="1"/>
        </w:numPr>
        <w:spacing w:after="40" w:before="20" w:line="258"/>
      </w:pPr>
      <w:r>
        <w:rPr>
          <w:rFonts w:ascii="Segoe UI" w:cs="Segoe UI" w:eastAsia="Segoe UI" w:hAnsi="Segoe UI"/>
          <w:color w:val="242424"/>
          <w:sz w:val="20"/>
          <w:szCs w:val="20"/>
        </w:rPr>
        <w:t xml:space="preserve">Draft calendar event creation only after recorded EA approval.</w:t>
      </w:r>
    </w:p>
    <w:p>
      <w:pPr>
        <w:pStyle w:val="ListParagraph"/>
        <w:numPr>
          <w:ilvl w:val="0"/>
          <w:numId w:val="1"/>
        </w:numPr>
        <w:spacing w:after="40" w:before="20" w:line="258"/>
      </w:pPr>
      <w:r>
        <w:rPr>
          <w:rFonts w:ascii="Segoe UI" w:cs="Segoe UI" w:eastAsia="Segoe UI" w:hAnsi="Segoe UI"/>
          <w:color w:val="242424"/>
          <w:sz w:val="20"/>
          <w:szCs w:val="20"/>
        </w:rPr>
        <w:t xml:space="preserve">Structured EA feedback, candidate preference proposals, and end-to-end audit.</w:t>
      </w:r>
    </w:p>
    <w:p>
      <w:pPr>
        <w:pStyle w:val="Heading2"/>
        <w:spacing w:after="80" w:before="190"/>
      </w:pPr>
      <w:r>
        <w:rPr>
          <w:rFonts w:ascii="Segoe UI" w:cs="Segoe UI" w:eastAsia="Segoe UI" w:hAnsi="Segoe UI"/>
          <w:b/>
          <w:bCs/>
          <w:color w:val="2E5C8A"/>
          <w:sz w:val="23"/>
          <w:szCs w:val="23"/>
        </w:rPr>
        <w:t xml:space="preserve">1.2  Explicitly out of scope</w:t>
      </w:r>
    </w:p>
    <w:p>
      <w:pPr>
        <w:pStyle w:val="ListParagraph"/>
        <w:numPr>
          <w:ilvl w:val="0"/>
          <w:numId w:val="1"/>
        </w:numPr>
        <w:spacing w:after="40" w:before="20" w:line="258"/>
      </w:pPr>
      <w:r>
        <w:rPr>
          <w:rFonts w:ascii="Segoe UI" w:cs="Segoe UI" w:eastAsia="Segoe UI" w:hAnsi="Segoe UI"/>
          <w:color w:val="242424"/>
          <w:sz w:val="20"/>
          <w:szCs w:val="20"/>
        </w:rPr>
        <w:t xml:space="preserve">Autonomous acceptance, decline, cancellation, rescheduling or invitation sending.</w:t>
      </w:r>
    </w:p>
    <w:p>
      <w:pPr>
        <w:pStyle w:val="ListParagraph"/>
        <w:numPr>
          <w:ilvl w:val="0"/>
          <w:numId w:val="1"/>
        </w:numPr>
        <w:spacing w:after="40" w:before="20" w:line="258"/>
      </w:pPr>
      <w:r>
        <w:rPr>
          <w:rFonts w:ascii="Segoe UI" w:cs="Segoe UI" w:eastAsia="Segoe UI" w:hAnsi="Segoe UI"/>
          <w:color w:val="242424"/>
          <w:sz w:val="20"/>
          <w:szCs w:val="20"/>
        </w:rPr>
        <w:t xml:space="preserve">Silent or automatic changes to executive preferences or organisational policy.</w:t>
      </w:r>
    </w:p>
    <w:p>
      <w:pPr>
        <w:pStyle w:val="ListParagraph"/>
        <w:numPr>
          <w:ilvl w:val="0"/>
          <w:numId w:val="1"/>
        </w:numPr>
        <w:spacing w:after="40" w:before="20" w:line="258"/>
      </w:pPr>
      <w:r>
        <w:rPr>
          <w:rFonts w:ascii="Segoe UI" w:cs="Segoe UI" w:eastAsia="Segoe UI" w:hAnsi="Segoe UI"/>
          <w:color w:val="242424"/>
          <w:sz w:val="20"/>
          <w:szCs w:val="20"/>
        </w:rPr>
        <w:t xml:space="preserve">Enterprise rollout beyond a controlled pilot cohort; full travel booking; CRM/HR/ERP integration.</w:t>
      </w:r>
    </w:p>
    <w:p>
      <w:pPr>
        <w:pStyle w:val="ListParagraph"/>
        <w:numPr>
          <w:ilvl w:val="0"/>
          <w:numId w:val="1"/>
        </w:numPr>
        <w:spacing w:after="40" w:before="20" w:line="258"/>
      </w:pPr>
      <w:r>
        <w:rPr>
          <w:rFonts w:ascii="Segoe UI" w:cs="Segoe UI" w:eastAsia="Segoe UI" w:hAnsi="Segoe UI"/>
          <w:color w:val="242424"/>
          <w:sz w:val="20"/>
          <w:szCs w:val="20"/>
        </w:rPr>
        <w:t xml:space="preserve">Cross-company assistant-to-assistant negotiation; fine-tuning a model on executive data.</w:t>
      </w:r>
    </w:p>
    <w:p>
      <w:pPr>
        <w:pStyle w:val="Heading1"/>
        <w:spacing w:after="100" w:before="220"/>
      </w:pPr>
      <w:r>
        <w:rPr>
          <w:rFonts w:ascii="Segoe UI" w:cs="Segoe UI" w:eastAsia="Segoe UI" w:hAnsi="Segoe UI"/>
          <w:b/>
          <w:bCs/>
          <w:color w:val="1F3A5F"/>
          <w:sz w:val="30"/>
          <w:szCs w:val="30"/>
        </w:rPr>
        <w:t xml:space="preserve">2.  Design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
            <w:tcBorders>
              <w:top w:val="single" w:color="D6D6D2" w:sz="4"/>
              <w:left w:val="single" w:color="D6D6D2" w:sz="4"/>
              <w:bottom w:val="single" w:color="D6D6D2" w:sz="4"/>
              <w:right w:val="single" w:color="D6D6D2" w:sz="4"/>
            </w:tcBorders>
            <w:shd w:fill="1F3A5F"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w:t>
            </w:r>
          </w:p>
        </w:tc>
        <w:tc>
          <w:tcPr>
            <w:tcW w:type="pct" w:w="30%"/>
            <w:tcBorders>
              <w:top w:val="single" w:color="D6D6D2" w:sz="4"/>
              <w:left w:val="single" w:color="D6D6D2" w:sz="4"/>
              <w:bottom w:val="single" w:color="D6D6D2" w:sz="4"/>
              <w:right w:val="single" w:color="D6D6D2" w:sz="4"/>
            </w:tcBorders>
            <w:shd w:fill="1F3A5F"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Principle</w:t>
            </w:r>
          </w:p>
        </w:tc>
        <w:tc>
          <w:tcPr>
            <w:tcW w:type="pct" w:w="65%"/>
            <w:tcBorders>
              <w:top w:val="single" w:color="D6D6D2" w:sz="4"/>
              <w:left w:val="single" w:color="D6D6D2" w:sz="4"/>
              <w:bottom w:val="single" w:color="D6D6D2" w:sz="4"/>
              <w:right w:val="single" w:color="D6D6D2" w:sz="4"/>
            </w:tcBorders>
            <w:shd w:fill="1F3A5F"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Consequence in the build</w:t>
            </w:r>
          </w:p>
        </w:tc>
      </w:tr>
      <w:tr>
        <w:tc>
          <w:tcPr>
            <w:tcW w:type="pct" w:w="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1</w:t>
            </w:r>
          </w:p>
        </w:tc>
        <w:tc>
          <w:tcPr>
            <w:tcW w:type="pct" w:w="3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EA copilot, not replacement</w:t>
            </w:r>
          </w:p>
        </w:tc>
        <w:tc>
          <w:tcPr>
            <w:tcW w:type="pct" w:w="6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The agent reduces toil; the EA keeps judgement, relationships and final authority</w:t>
            </w:r>
          </w:p>
        </w:tc>
      </w:tr>
      <w:tr>
        <w:tc>
          <w:tcPr>
            <w:tcW w:type="pct" w:w="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2</w:t>
            </w:r>
          </w:p>
        </w:tc>
        <w:tc>
          <w:tcPr>
            <w:tcW w:type="pct" w:w="3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Human approval before writes</w:t>
            </w:r>
          </w:p>
        </w:tc>
        <w:tc>
          <w:tcPr>
            <w:tcW w:type="pct" w:w="6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No calendar or communication write occurs without a recorded EA approval event</w:t>
            </w:r>
          </w:p>
        </w:tc>
      </w:tr>
      <w:tr>
        <w:tc>
          <w:tcPr>
            <w:tcW w:type="pct" w:w="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3</w:t>
            </w:r>
          </w:p>
        </w:tc>
        <w:tc>
          <w:tcPr>
            <w:tcW w:type="pct" w:w="3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Least privilege by design</w:t>
            </w:r>
          </w:p>
        </w:tc>
        <w:tc>
          <w:tcPr>
            <w:tcW w:type="pct" w:w="6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Operates only within the assigned EA’s delegated Microsoft 365 permissions</w:t>
            </w:r>
          </w:p>
        </w:tc>
      </w:tr>
      <w:tr>
        <w:tc>
          <w:tcPr>
            <w:tcW w:type="pct" w:w="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4</w:t>
            </w:r>
          </w:p>
        </w:tc>
        <w:tc>
          <w:tcPr>
            <w:tcW w:type="pct" w:w="3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Explainable recommendations</w:t>
            </w:r>
          </w:p>
        </w:tc>
        <w:tc>
          <w:tcPr>
            <w:tcW w:type="pct" w:w="6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Every option shows constraints, policies, evidence and trade-offs</w:t>
            </w:r>
          </w:p>
        </w:tc>
      </w:tr>
      <w:tr>
        <w:tc>
          <w:tcPr>
            <w:tcW w:type="pct" w:w="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5</w:t>
            </w:r>
          </w:p>
        </w:tc>
        <w:tc>
          <w:tcPr>
            <w:tcW w:type="pct" w:w="3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LLM for language, deterministic services for decisions</w:t>
            </w:r>
          </w:p>
        </w:tc>
        <w:tc>
          <w:tcPr>
            <w:tcW w:type="pct" w:w="6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Models extract, summarise and explain; rules and optimisation decide permissions, policy and feasibility</w:t>
            </w:r>
          </w:p>
        </w:tc>
      </w:tr>
      <w:tr>
        <w:tc>
          <w:tcPr>
            <w:tcW w:type="pct" w:w="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6</w:t>
            </w:r>
          </w:p>
        </w:tc>
        <w:tc>
          <w:tcPr>
            <w:tcW w:type="pct" w:w="3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Governed learning</w:t>
            </w:r>
          </w:p>
        </w:tc>
        <w:tc>
          <w:tcPr>
            <w:tcW w:type="pct" w:w="6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Feedback is evidence; a pattern is a candidate; only an approved rule influences output</w:t>
            </w:r>
          </w:p>
        </w:tc>
      </w:tr>
      <w:tr>
        <w:tc>
          <w:tcPr>
            <w:tcW w:type="pct" w:w="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7</w:t>
            </w:r>
          </w:p>
        </w:tc>
        <w:tc>
          <w:tcPr>
            <w:tcW w:type="pct" w:w="3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Privacy and data minimisation</w:t>
            </w:r>
          </w:p>
        </w:tc>
        <w:tc>
          <w:tcPr>
            <w:tcW w:type="pct" w:w="6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Retrieve only authorised data; prefer source references over persistent copies</w:t>
            </w:r>
          </w:p>
        </w:tc>
      </w:tr>
      <w:tr>
        <w:tc>
          <w:tcPr>
            <w:tcW w:type="pct" w:w="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8</w:t>
            </w:r>
          </w:p>
        </w:tc>
        <w:tc>
          <w:tcPr>
            <w:tcW w:type="pct" w:w="3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Auditable and reversible</w:t>
            </w:r>
          </w:p>
        </w:tc>
        <w:tc>
          <w:tcPr>
            <w:tcW w:type="pct" w:w="6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9"/>
                <w:szCs w:val="19"/>
              </w:rPr>
              <w:t xml:space="preserve">Recommendations, approvals, feedback and policy changes are versioned and recoverable</w:t>
            </w:r>
          </w:p>
        </w:tc>
      </w:tr>
    </w:tbl>
    <w:p>
      <w:pPr>
        <w:sectPr>
          <w:footerReference w:type="default" r:id="rId7"/>
          <w:pgSz w:w="12240" w:h="15840" w:orient="portrait"/>
          <w:pgMar w:top="1152" w:right="1224" w:bottom="1008" w:left="1224" w:header="504" w:footer="431" w:gutter="0"/>
          <w:pgNumType/>
          <w:docGrid w:linePitch="360"/>
        </w:sectPr>
      </w:pPr>
    </w:p>
    <w:p>
      <w:pPr>
        <w:pStyle w:val="Heading1"/>
        <w:spacing w:after="70" w:before="220"/>
      </w:pPr>
      <w:r>
        <w:rPr>
          <w:rFonts w:ascii="Segoe UI" w:cs="Segoe UI" w:eastAsia="Segoe UI" w:hAnsi="Segoe UI"/>
          <w:b/>
          <w:bCs/>
          <w:color w:val="1F3A5F"/>
          <w:sz w:val="30"/>
          <w:szCs w:val="30"/>
        </w:rPr>
        <w:t xml:space="preserve">3.  Functional architecture</w:t>
      </w:r>
    </w:p>
    <w:p>
      <w:pPr>
        <w:keepNext/>
        <w:spacing w:after="70" w:before="0"/>
        <w:jc w:val="center"/>
      </w:pPr>
      <w:r>
        <w:drawing>
          <wp:inline distT="0" distB="0" distL="0" distR="0">
            <wp:extent cx="6924675"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924675" cy="5438775"/>
                    </a:xfrm>
                    <a:prstGeom prst="rect">
                      <a:avLst/>
                    </a:prstGeom>
                  </pic:spPr>
                </pic:pic>
              </a:graphicData>
            </a:graphic>
          </wp:inline>
        </w:drawing>
      </w:r>
    </w:p>
    <w:p>
      <w:pPr>
        <w:spacing w:after="60" w:before="0"/>
        <w:jc w:val="center"/>
      </w:pPr>
      <w:r>
        <w:rPr>
          <w:rFonts w:ascii="Segoe UI" w:cs="Segoe UI" w:eastAsia="Segoe UI" w:hAnsi="Segoe UI"/>
          <w:i/>
          <w:iCs/>
          <w:color w:val="5A5A5A"/>
          <w:sz w:val="17"/>
          <w:szCs w:val="17"/>
        </w:rPr>
        <w:t xml:space="preserve">Figure 1 — Functional architecture. Twelve components in two planes. The synchronous plane recommends but never writes; the EA Review Workbench (7) is a mandatory gate; the asynchronous plane proposes rules but cannot activate them. Only approved, versioned rules in the governed stores influence future recommendations.</w:t>
      </w:r>
    </w:p>
    <w:p>
      <w:pPr>
        <w:sectPr>
          <w:headerReference w:type="default" r:id="rId8"/>
          <w:footerReference w:type="default" r:id="rId9"/>
          <w:pgSz w:w="15840" w:h="12240" w:orient="landscape"/>
          <w:pgMar w:top="648" w:right="720" w:bottom="648" w:left="720" w:header="288" w:footer="288" w:gutter="0"/>
          <w:pgNumType/>
          <w:docGrid w:linePitch="360"/>
        </w:sectPr>
      </w:pPr>
    </w:p>
    <w:p>
      <w:pPr>
        <w:pStyle w:val="Heading1"/>
        <w:spacing w:after="100" w:before="220"/>
      </w:pPr>
      <w:r>
        <w:rPr>
          <w:rFonts w:ascii="Segoe UI" w:cs="Segoe UI" w:eastAsia="Segoe UI" w:hAnsi="Segoe UI"/>
          <w:b/>
          <w:bCs/>
          <w:color w:val="1F3A5F"/>
          <w:sz w:val="30"/>
          <w:szCs w:val="30"/>
        </w:rPr>
        <w:t xml:space="preserve">4.  Agent and service responsibilities</w:t>
      </w:r>
    </w:p>
    <w:p>
      <w:pPr>
        <w:spacing w:after="100" w:before="40" w:line="264"/>
      </w:pPr>
      <w:r>
        <w:rPr>
          <w:rFonts w:ascii="Segoe UI" w:cs="Segoe UI" w:eastAsia="Segoe UI" w:hAnsi="Segoe UI"/>
          <w:color w:val="242424"/>
          <w:sz w:val="20"/>
          <w:szCs w:val="20"/>
        </w:rPr>
        <w:t xml:space="preserve">The "must not" column is the enforceable part of the design. Each restriction is implemented as a tool allow-list and a deterministic policy check, not as prompt instruction.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
            <w:tcBorders>
              <w:top w:val="single" w:color="D6D6D2" w:sz="4"/>
              <w:left w:val="single" w:color="D6D6D2" w:sz="4"/>
              <w:bottom w:val="single" w:color="D6D6D2" w:sz="4"/>
              <w:right w:val="single" w:color="D6D6D2" w:sz="4"/>
            </w:tcBorders>
            <w:shd w:fill="1F3A5F"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w:t>
            </w:r>
          </w:p>
        </w:tc>
        <w:tc>
          <w:tcPr>
            <w:tcW w:type="pct" w:w="22%"/>
            <w:tcBorders>
              <w:top w:val="single" w:color="D6D6D2" w:sz="4"/>
              <w:left w:val="single" w:color="D6D6D2" w:sz="4"/>
              <w:bottom w:val="single" w:color="D6D6D2" w:sz="4"/>
              <w:right w:val="single" w:color="D6D6D2" w:sz="4"/>
            </w:tcBorders>
            <w:shd w:fill="1F3A5F"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Agent / service</w:t>
            </w:r>
          </w:p>
        </w:tc>
        <w:tc>
          <w:tcPr>
            <w:tcW w:type="pct" w:w="40%"/>
            <w:tcBorders>
              <w:top w:val="single" w:color="D6D6D2" w:sz="4"/>
              <w:left w:val="single" w:color="D6D6D2" w:sz="4"/>
              <w:bottom w:val="single" w:color="D6D6D2" w:sz="4"/>
              <w:right w:val="single" w:color="D6D6D2" w:sz="4"/>
            </w:tcBorders>
            <w:shd w:fill="1F3A5F"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Responsibility</w:t>
            </w:r>
          </w:p>
        </w:tc>
        <w:tc>
          <w:tcPr>
            <w:tcW w:type="pct" w:w="33%"/>
            <w:tcBorders>
              <w:top w:val="single" w:color="D6D6D2" w:sz="4"/>
              <w:left w:val="single" w:color="D6D6D2" w:sz="4"/>
              <w:bottom w:val="single" w:color="D6D6D2" w:sz="4"/>
              <w:right w:val="single" w:color="D6D6D2" w:sz="4"/>
            </w:tcBorders>
            <w:shd w:fill="1F3A5F"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Must not</w:t>
            </w:r>
          </w:p>
        </w:tc>
      </w:tr>
      <w:tr>
        <w:tc>
          <w:tcPr>
            <w:tcW w:type="pct" w:w="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1</w:t>
            </w:r>
          </w:p>
        </w:tc>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Intake &amp; qualification</w:t>
            </w:r>
          </w:p>
        </w:tc>
        <w:tc>
          <w:tcPr>
            <w:tcW w:type="pct" w:w="4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Normalise requests, validate fields, collect missing information</w:t>
            </w:r>
          </w:p>
        </w:tc>
        <w:tc>
          <w:tcPr>
            <w:tcW w:type="pct" w:w="33%"/>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Escalate an incomplete request as decision-ready</w:t>
            </w:r>
          </w:p>
        </w:tc>
      </w:tr>
      <w:tr>
        <w:tc>
          <w:tcPr>
            <w:tcW w:type="pct" w:w="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2</w:t>
            </w:r>
          </w:p>
        </w:tc>
        <w:tc>
          <w:tcPr>
            <w:tcW w:type="pct" w:w="2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Context intelligence</w:t>
            </w:r>
          </w:p>
        </w:tc>
        <w:tc>
          <w:tcPr>
            <w:tcW w:type="pct" w:w="4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Build a grounded decision package from authorised M365 content</w:t>
            </w:r>
          </w:p>
        </w:tc>
        <w:tc>
          <w:tcPr>
            <w:tcW w:type="pct" w:w="33%"/>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Present unsupported claims or unauthorised content</w:t>
            </w:r>
          </w:p>
        </w:tc>
      </w:tr>
      <w:tr>
        <w:tc>
          <w:tcPr>
            <w:tcW w:type="pct" w:w="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3</w:t>
            </w:r>
          </w:p>
        </w:tc>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Priority intelligence</w:t>
            </w:r>
          </w:p>
        </w:tc>
        <w:tc>
          <w:tcPr>
            <w:tcW w:type="pct" w:w="4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Recommend a business priority tier from policy, hierarchy and urgency</w:t>
            </w:r>
          </w:p>
        </w:tc>
        <w:tc>
          <w:tcPr>
            <w:tcW w:type="pct" w:w="33%"/>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Change enterprise policy or produce an opaque ranking</w:t>
            </w:r>
          </w:p>
        </w:tc>
      </w:tr>
      <w:tr>
        <w:tc>
          <w:tcPr>
            <w:tcW w:type="pct" w:w="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4</w:t>
            </w:r>
          </w:p>
        </w:tc>
        <w:tc>
          <w:tcPr>
            <w:tcW w:type="pct" w:w="2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Scheduling orchestration</w:t>
            </w:r>
          </w:p>
        </w:tc>
        <w:tc>
          <w:tcPr>
            <w:tcW w:type="pct" w:w="4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Evaluate availability and eliminate infeasible options</w:t>
            </w:r>
          </w:p>
        </w:tc>
        <w:tc>
          <w:tcPr>
            <w:tcW w:type="pct" w:w="33%"/>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Book, move, cancel, accept or decline any meeting</w:t>
            </w:r>
          </w:p>
        </w:tc>
      </w:tr>
      <w:tr>
        <w:tc>
          <w:tcPr>
            <w:tcW w:type="pct" w:w="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5</w:t>
            </w:r>
          </w:p>
        </w:tc>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Option ranking</w:t>
            </w:r>
          </w:p>
        </w:tc>
        <w:tc>
          <w:tcPr>
            <w:tcW w:type="pct" w:w="4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Score feasible options against governed weights</w:t>
            </w:r>
          </w:p>
        </w:tc>
        <w:tc>
          <w:tcPr>
            <w:tcW w:type="pct" w:w="33%"/>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Hide the scoring basis or invent an option</w:t>
            </w:r>
          </w:p>
        </w:tc>
      </w:tr>
      <w:tr>
        <w:tc>
          <w:tcPr>
            <w:tcW w:type="pct" w:w="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6</w:t>
            </w:r>
          </w:p>
        </w:tc>
        <w:tc>
          <w:tcPr>
            <w:tcW w:type="pct" w:w="2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Explanation</w:t>
            </w:r>
          </w:p>
        </w:tc>
        <w:tc>
          <w:tcPr>
            <w:tcW w:type="pct" w:w="4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Produce a reviewable decision packet with evidence and confidence</w:t>
            </w:r>
          </w:p>
        </w:tc>
        <w:tc>
          <w:tcPr>
            <w:tcW w:type="pct" w:w="33%"/>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Expose data beyond the EA’s authorisation</w:t>
            </w:r>
          </w:p>
        </w:tc>
      </w:tr>
      <w:tr>
        <w:tc>
          <w:tcPr>
            <w:tcW w:type="pct" w:w="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7</w:t>
            </w:r>
          </w:p>
        </w:tc>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EA review workbench</w:t>
            </w:r>
          </w:p>
        </w:tc>
        <w:tc>
          <w:tcPr>
            <w:tcW w:type="pct" w:w="4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Present options and capture the approval decision</w:t>
            </w:r>
          </w:p>
        </w:tc>
        <w:tc>
          <w:tcPr>
            <w:tcW w:type="pct" w:w="33%"/>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Proceed without an explicit, recorded EA decision</w:t>
            </w:r>
          </w:p>
        </w:tc>
      </w:tr>
      <w:tr>
        <w:tc>
          <w:tcPr>
            <w:tcW w:type="pct" w:w="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8</w:t>
            </w:r>
          </w:p>
        </w:tc>
        <w:tc>
          <w:tcPr>
            <w:tcW w:type="pct" w:w="2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Draft action agent</w:t>
            </w:r>
          </w:p>
        </w:tc>
        <w:tc>
          <w:tcPr>
            <w:tcW w:type="pct" w:w="4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Create draft events and draft messages after approval</w:t>
            </w:r>
          </w:p>
        </w:tc>
        <w:tc>
          <w:tcPr>
            <w:tcW w:type="pct" w:w="33%"/>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Act before approval or send anything automatically</w:t>
            </w:r>
          </w:p>
        </w:tc>
      </w:tr>
      <w:tr>
        <w:tc>
          <w:tcPr>
            <w:tcW w:type="pct" w:w="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9</w:t>
            </w:r>
          </w:p>
        </w:tc>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Feedback capture</w:t>
            </w:r>
          </w:p>
        </w:tc>
        <w:tc>
          <w:tcPr>
            <w:tcW w:type="pct" w:w="4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Record the correction, reason code and rationale</w:t>
            </w:r>
          </w:p>
        </w:tc>
        <w:tc>
          <w:tcPr>
            <w:tcW w:type="pct" w:w="33%"/>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Alter a recommendation retrospectively</w:t>
            </w:r>
          </w:p>
        </w:tc>
      </w:tr>
      <w:tr>
        <w:tc>
          <w:tcPr>
            <w:tcW w:type="pct" w:w="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10</w:t>
            </w:r>
          </w:p>
        </w:tc>
        <w:tc>
          <w:tcPr>
            <w:tcW w:type="pct" w:w="2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Pattern &amp; candidate-rule engine</w:t>
            </w:r>
          </w:p>
        </w:tc>
        <w:tc>
          <w:tcPr>
            <w:tcW w:type="pct" w:w="4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Detect repeated corrections and propose a rule</w:t>
            </w:r>
          </w:p>
        </w:tc>
        <w:tc>
          <w:tcPr>
            <w:tcW w:type="pct" w:w="33%"/>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Activate an inferred rule</w:t>
            </w:r>
          </w:p>
        </w:tc>
      </w:tr>
      <w:tr>
        <w:tc>
          <w:tcPr>
            <w:tcW w:type="pct" w:w="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11</w:t>
            </w:r>
          </w:p>
        </w:tc>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Preference review &amp; approval</w:t>
            </w:r>
          </w:p>
        </w:tc>
        <w:tc>
          <w:tcPr>
            <w:tcW w:type="pct" w:w="4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Route candidates to an authorised approver</w:t>
            </w:r>
          </w:p>
        </w:tc>
        <w:tc>
          <w:tcPr>
            <w:tcW w:type="pct" w:w="33%"/>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Approve on the user’s behalf or skip versioning</w:t>
            </w:r>
          </w:p>
        </w:tc>
      </w:tr>
      <w:tr>
        <w:tc>
          <w:tcPr>
            <w:tcW w:type="pct" w:w="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12</w:t>
            </w:r>
          </w:p>
        </w:tc>
        <w:tc>
          <w:tcPr>
            <w:tcW w:type="pct" w:w="2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Evaluation &amp; monitoring</w:t>
            </w:r>
          </w:p>
        </w:tc>
        <w:tc>
          <w:tcPr>
            <w:tcW w:type="pct" w:w="4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Track acceptance, override rate, latency, quality and cost</w:t>
            </w:r>
          </w:p>
        </w:tc>
        <w:tc>
          <w:tcPr>
            <w:tcW w:type="pct" w:w="33%"/>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Feed measurements back into recommendations automatically</w:t>
            </w:r>
          </w:p>
        </w:tc>
      </w:tr>
      <w:tr>
        <w:tc>
          <w:tcPr>
            <w:tcW w:type="pct" w:w="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w:t>
            </w:r>
          </w:p>
        </w:tc>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Policy, constraint &amp; optimisation service</w:t>
            </w:r>
          </w:p>
        </w:tc>
        <w:tc>
          <w:tcPr>
            <w:tcW w:type="pct" w:w="4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Enforce permissions, hard constraints, feasibility and scoring weights</w:t>
            </w:r>
          </w:p>
        </w:tc>
        <w:tc>
          <w:tcPr>
            <w:tcW w:type="pct" w:w="33%"/>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7"/>
                <w:szCs w:val="17"/>
              </w:rPr>
              <w:t xml:space="preserve">Delegate a policy decision to a language model alone</w:t>
            </w:r>
          </w:p>
        </w:tc>
      </w:tr>
    </w:tbl>
    <w:p>
      <w:pPr>
        <w:pStyle w:val="Heading2"/>
        <w:spacing w:after="80" w:before="190"/>
      </w:pPr>
      <w:r>
        <w:rPr>
          <w:rFonts w:ascii="Segoe UI" w:cs="Segoe UI" w:eastAsia="Segoe UI" w:hAnsi="Segoe UI"/>
          <w:b/>
          <w:bCs/>
          <w:color w:val="2E5C8A"/>
          <w:sz w:val="23"/>
          <w:szCs w:val="23"/>
        </w:rPr>
        <w:t xml:space="preserve">4.1  Transparent scoring</w:t>
      </w:r>
    </w:p>
    <w:p>
      <w:pPr>
        <w:spacing w:after="100" w:before="40" w:line="264"/>
      </w:pPr>
      <w:r>
        <w:rPr>
          <w:rFonts w:ascii="Segoe UI" w:cs="Segoe UI" w:eastAsia="Segoe UI" w:hAnsi="Segoe UI"/>
          <w:color w:val="242424"/>
          <w:sz w:val="20"/>
          <w:szCs w:val="20"/>
        </w:rPr>
        <w:t xml:space="preserve">Hard constraints eliminate invalid options. Soft constraints rank what survives. Weights are governed configuration, not hidden prompt behaviour.</w:t>
      </w:r>
    </w:p>
    <w:p>
      <w:pPr>
        <w:spacing w:after="60" w:before="60"/>
        <w:jc w:val="center"/>
      </w:pPr>
      <w:r>
        <w:rPr>
          <w:rFonts w:ascii="Consolas" w:cs="Consolas" w:eastAsia="Consolas" w:hAnsi="Consolas"/>
          <w:b/>
          <w:bCs/>
          <w:color w:val="1F3A5F"/>
          <w:sz w:val="22"/>
          <w:szCs w:val="22"/>
        </w:rPr>
        <w:t xml:space="preserve">Score  =  wp·P  +  wu·U  +  wf·F  +  wl·L  +  wc·C  −  wd·D</w:t>
      </w:r>
    </w:p>
    <w:p>
      <w:pPr>
        <w:spacing w:after="100" w:before="40" w:line="264"/>
        <w:jc w:val="center"/>
      </w:pPr>
      <w:r>
        <w:rPr>
          <w:rFonts w:ascii="Segoe UI" w:cs="Segoe UI" w:eastAsia="Segoe UI" w:hAnsi="Segoe UI"/>
          <w:b/>
          <w:bCs/>
          <w:color w:val="242424"/>
          <w:sz w:val="19"/>
          <w:szCs w:val="19"/>
        </w:rPr>
        <w:t xml:space="preserve">P </w:t>
      </w:r>
      <w:r>
        <w:rPr>
          <w:rFonts w:ascii="Segoe UI" w:cs="Segoe UI" w:eastAsia="Segoe UI" w:hAnsi="Segoe UI"/>
          <w:color w:val="242424"/>
          <w:sz w:val="19"/>
          <w:szCs w:val="19"/>
        </w:rPr>
        <w:t xml:space="preserve">business-priority alignment  ·  </w:t>
      </w:r>
      <w:r>
        <w:rPr>
          <w:rFonts w:ascii="Segoe UI" w:cs="Segoe UI" w:eastAsia="Segoe UI" w:hAnsi="Segoe UI"/>
          <w:b/>
          <w:bCs/>
          <w:color w:val="242424"/>
          <w:sz w:val="19"/>
          <w:szCs w:val="19"/>
        </w:rPr>
        <w:t xml:space="preserve">U </w:t>
      </w:r>
      <w:r>
        <w:rPr>
          <w:rFonts w:ascii="Segoe UI" w:cs="Segoe UI" w:eastAsia="Segoe UI" w:hAnsi="Segoe UI"/>
          <w:color w:val="242424"/>
          <w:sz w:val="19"/>
          <w:szCs w:val="19"/>
        </w:rPr>
        <w:t xml:space="preserve">urgency and deadline fit  ·  </w:t>
      </w:r>
      <w:r>
        <w:rPr>
          <w:rFonts w:ascii="Segoe UI" w:cs="Segoe UI" w:eastAsia="Segoe UI" w:hAnsi="Segoe UI"/>
          <w:b/>
          <w:bCs/>
          <w:color w:val="242424"/>
          <w:sz w:val="19"/>
          <w:szCs w:val="19"/>
        </w:rPr>
        <w:t xml:space="preserve">F </w:t>
      </w:r>
      <w:r>
        <w:rPr>
          <w:rFonts w:ascii="Segoe UI" w:cs="Segoe UI" w:eastAsia="Segoe UI" w:hAnsi="Segoe UI"/>
          <w:color w:val="242424"/>
          <w:sz w:val="19"/>
          <w:szCs w:val="19"/>
        </w:rPr>
        <w:t xml:space="preserve">executive preference fit  ·  </w:t>
      </w:r>
      <w:r>
        <w:rPr>
          <w:rFonts w:ascii="Segoe UI" w:cs="Segoe UI" w:eastAsia="Segoe UI" w:hAnsi="Segoe UI"/>
          <w:b/>
          <w:bCs/>
          <w:color w:val="242424"/>
          <w:sz w:val="19"/>
          <w:szCs w:val="19"/>
        </w:rPr>
        <w:t xml:space="preserve">L </w:t>
      </w:r>
      <w:r>
        <w:rPr>
          <w:rFonts w:ascii="Segoe UI" w:cs="Segoe UI" w:eastAsia="Segoe UI" w:hAnsi="Segoe UI"/>
          <w:color w:val="242424"/>
          <w:sz w:val="19"/>
          <w:szCs w:val="19"/>
        </w:rPr>
        <w:t xml:space="preserve">location and travel suitability  ·  </w:t>
      </w:r>
      <w:r>
        <w:rPr>
          <w:rFonts w:ascii="Segoe UI" w:cs="Segoe UI" w:eastAsia="Segoe UI" w:hAnsi="Segoe UI"/>
          <w:b/>
          <w:bCs/>
          <w:color w:val="242424"/>
          <w:sz w:val="19"/>
          <w:szCs w:val="19"/>
        </w:rPr>
        <w:t xml:space="preserve">C </w:t>
      </w:r>
      <w:r>
        <w:rPr>
          <w:rFonts w:ascii="Segoe UI" w:cs="Segoe UI" w:eastAsia="Segoe UI" w:hAnsi="Segoe UI"/>
          <w:color w:val="242424"/>
          <w:sz w:val="19"/>
          <w:szCs w:val="19"/>
        </w:rPr>
        <w:t xml:space="preserve">calendar quality  ·  </w:t>
      </w:r>
      <w:r>
        <w:rPr>
          <w:rFonts w:ascii="Segoe UI" w:cs="Segoe UI" w:eastAsia="Segoe UI" w:hAnsi="Segoe UI"/>
          <w:b/>
          <w:bCs/>
          <w:color w:val="242424"/>
          <w:sz w:val="19"/>
          <w:szCs w:val="19"/>
        </w:rPr>
        <w:t xml:space="preserve">D </w:t>
      </w:r>
      <w:r>
        <w:rPr>
          <w:rFonts w:ascii="Segoe UI" w:cs="Segoe UI" w:eastAsia="Segoe UI" w:hAnsi="Segoe UI"/>
          <w:color w:val="242424"/>
          <w:sz w:val="19"/>
          <w:szCs w:val="19"/>
        </w:rPr>
        <w:t xml:space="preserve">disruption cost</w:t>
      </w:r>
    </w:p>
    <w:p>
      <w:pPr>
        <w:sectPr>
          <w:headerReference w:type="default" r:id="rId10"/>
          <w:footerReference w:type="default" r:id="rId11"/>
          <w:pgSz w:w="12240" w:h="15840" w:orient="portrait"/>
          <w:pgMar w:top="1152" w:right="1224" w:bottom="1008" w:left="1224" w:header="504" w:footer="431" w:gutter="0"/>
          <w:pgNumType/>
          <w:docGrid w:linePitch="360"/>
        </w:sectPr>
      </w:pPr>
    </w:p>
    <w:p>
      <w:pPr>
        <w:pStyle w:val="Heading1"/>
        <w:spacing w:after="70" w:before="220"/>
      </w:pPr>
      <w:r>
        <w:rPr>
          <w:rFonts w:ascii="Segoe UI" w:cs="Segoe UI" w:eastAsia="Segoe UI" w:hAnsi="Segoe UI"/>
          <w:b/>
          <w:bCs/>
          <w:color w:val="1F3A5F"/>
          <w:sz w:val="30"/>
          <w:szCs w:val="30"/>
        </w:rPr>
        <w:t xml:space="preserve">5.  Reference architecture</w:t>
      </w:r>
    </w:p>
    <w:p>
      <w:pPr>
        <w:keepNext/>
        <w:spacing w:after="70" w:before="0"/>
        <w:jc w:val="center"/>
      </w:pPr>
      <w:r>
        <w:drawing>
          <wp:inline distT="0" distB="0" distL="0" distR="0">
            <wp:extent cx="7181850"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7181850" cy="5438775"/>
                    </a:xfrm>
                    <a:prstGeom prst="rect">
                      <a:avLst/>
                    </a:prstGeom>
                  </pic:spPr>
                </pic:pic>
              </a:graphicData>
            </a:graphic>
          </wp:inline>
        </w:drawing>
      </w:r>
    </w:p>
    <w:p>
      <w:pPr>
        <w:spacing w:after="60" w:before="0"/>
        <w:jc w:val="center"/>
      </w:pPr>
      <w:r>
        <w:rPr>
          <w:rFonts w:ascii="Segoe UI" w:cs="Segoe UI" w:eastAsia="Segoe UI" w:hAnsi="Segoe UI"/>
          <w:i/>
          <w:iCs/>
          <w:color w:val="5A5A5A"/>
          <w:sz w:val="17"/>
          <w:szCs w:val="17"/>
        </w:rPr>
        <w:t xml:space="preserve">Figure 2 — Reference architecture. The approval gate sits between recommendation and action; nothing below it executes without a recorded EA approval. Shared platform services are listed at right; the immutable audit store spans the whole flow.</w:t>
      </w:r>
    </w:p>
    <w:p>
      <w:pPr>
        <w:sectPr>
          <w:headerReference w:type="default" r:id="rId12"/>
          <w:footerReference w:type="default" r:id="rId13"/>
          <w:pgSz w:w="15840" w:h="12240" w:orient="landscape"/>
          <w:pgMar w:top="648" w:right="720" w:bottom="648" w:left="720" w:header="288" w:footer="288" w:gutter="0"/>
          <w:pgNumType/>
          <w:docGrid w:linePitch="360"/>
        </w:sectPr>
      </w:pPr>
    </w:p>
    <w:p>
      <w:pPr>
        <w:pStyle w:val="Heading1"/>
        <w:spacing w:after="100" w:before="220"/>
      </w:pPr>
      <w:r>
        <w:rPr>
          <w:rFonts w:ascii="Segoe UI" w:cs="Segoe UI" w:eastAsia="Segoe UI" w:hAnsi="Segoe UI"/>
          <w:b/>
          <w:bCs/>
          <w:color w:val="1F3A5F"/>
          <w:sz w:val="30"/>
          <w:szCs w:val="30"/>
        </w:rPr>
        <w:t xml:space="preserve">5.1  Microsoft technology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D6D6D2" w:sz="4"/>
              <w:left w:val="single" w:color="D6D6D2" w:sz="4"/>
              <w:bottom w:val="single" w:color="D6D6D2" w:sz="4"/>
              <w:right w:val="single" w:color="D6D6D2" w:sz="4"/>
            </w:tcBorders>
            <w:shd w:fill="443E51"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Capability</w:t>
            </w:r>
          </w:p>
        </w:tc>
        <w:tc>
          <w:tcPr>
            <w:tcW w:type="pct" w:w="32%"/>
            <w:tcBorders>
              <w:top w:val="single" w:color="D6D6D2" w:sz="4"/>
              <w:left w:val="single" w:color="D6D6D2" w:sz="4"/>
              <w:bottom w:val="single" w:color="D6D6D2" w:sz="4"/>
              <w:right w:val="single" w:color="D6D6D2" w:sz="4"/>
            </w:tcBorders>
            <w:shd w:fill="443E51"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Service</w:t>
            </w:r>
          </w:p>
        </w:tc>
        <w:tc>
          <w:tcPr>
            <w:tcW w:type="pct" w:w="46%"/>
            <w:tcBorders>
              <w:top w:val="single" w:color="D6D6D2" w:sz="4"/>
              <w:left w:val="single" w:color="D6D6D2" w:sz="4"/>
              <w:bottom w:val="single" w:color="D6D6D2" w:sz="4"/>
              <w:right w:val="single" w:color="D6D6D2" w:sz="4"/>
            </w:tcBorders>
            <w:shd w:fill="443E51"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Prototype role</w:t>
            </w:r>
          </w:p>
        </w:tc>
      </w:tr>
      <w:tr>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Agent engineering</w:t>
            </w:r>
          </w:p>
        </w:tc>
        <w:tc>
          <w:tcPr>
            <w:tcW w:type="pct" w:w="3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Microsoft Foundry, Azure OpenAI</w:t>
            </w:r>
          </w:p>
        </w:tc>
        <w:tc>
          <w:tcPr>
            <w:tcW w:type="pct" w:w="46%"/>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Agent development, tool calling, tracing, prompt and version management, evaluations</w:t>
            </w:r>
          </w:p>
        </w:tc>
      </w:tr>
      <w:tr>
        <w:tc>
          <w:tcPr>
            <w:tcW w:type="pct" w:w="2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User experience</w:t>
            </w:r>
          </w:p>
        </w:tc>
        <w:tc>
          <w:tcPr>
            <w:tcW w:type="pct" w:w="3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Teams app, Adaptive Cards, React or Power Apps</w:t>
            </w:r>
          </w:p>
        </w:tc>
        <w:tc>
          <w:tcPr>
            <w:tcW w:type="pct" w:w="46%"/>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Intake, qualification dialogue, EA review, approval, explanations</w:t>
            </w:r>
          </w:p>
        </w:tc>
      </w:tr>
      <w:tr>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Microsoft 365 integration</w:t>
            </w:r>
          </w:p>
        </w:tc>
        <w:tc>
          <w:tcPr>
            <w:tcW w:type="pct" w:w="3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Microsoft Graph</w:t>
            </w:r>
          </w:p>
        </w:tc>
        <w:tc>
          <w:tcPr>
            <w:tcW w:type="pct" w:w="46%"/>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Calendars, free/busy, events, mail, Teams messages, files, people</w:t>
            </w:r>
          </w:p>
        </w:tc>
      </w:tr>
      <w:tr>
        <w:tc>
          <w:tcPr>
            <w:tcW w:type="pct" w:w="2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Workflow</w:t>
            </w:r>
          </w:p>
        </w:tc>
        <w:tc>
          <w:tcPr>
            <w:tcW w:type="pct" w:w="3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Azure Durable Functions or Logic Apps</w:t>
            </w:r>
          </w:p>
        </w:tc>
        <w:tc>
          <w:tcPr>
            <w:tcW w:type="pct" w:w="46%"/>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Long-running request lifecycle, approvals, retries, reminders</w:t>
            </w:r>
          </w:p>
        </w:tc>
      </w:tr>
      <w:tr>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State and profile store</w:t>
            </w:r>
          </w:p>
        </w:tc>
        <w:tc>
          <w:tcPr>
            <w:tcW w:type="pct" w:w="3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Azure Cosmos DB or Azure SQL</w:t>
            </w:r>
          </w:p>
        </w:tc>
        <w:tc>
          <w:tcPr>
            <w:tcW w:type="pct" w:w="46%"/>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Requests, executive profiles, policy records, feedback, versioning</w:t>
            </w:r>
          </w:p>
        </w:tc>
      </w:tr>
      <w:tr>
        <w:tc>
          <w:tcPr>
            <w:tcW w:type="pct" w:w="2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Search and grounding</w:t>
            </w:r>
          </w:p>
        </w:tc>
        <w:tc>
          <w:tcPr>
            <w:tcW w:type="pct" w:w="3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Azure AI Search + embeddings</w:t>
            </w:r>
          </w:p>
        </w:tc>
        <w:tc>
          <w:tcPr>
            <w:tcW w:type="pct" w:w="46%"/>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Grounded retrieval across approved content</w:t>
            </w:r>
          </w:p>
        </w:tc>
      </w:tr>
      <w:tr>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Constraint optimisation</w:t>
            </w:r>
          </w:p>
        </w:tc>
        <w:tc>
          <w:tcPr>
            <w:tcW w:type="pct" w:w="3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Azure Functions or Container Apps (Python)</w:t>
            </w:r>
          </w:p>
        </w:tc>
        <w:tc>
          <w:tcPr>
            <w:tcW w:type="pct" w:w="46%"/>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Deterministic rules, multi-calendar feasibility, scoring</w:t>
            </w:r>
          </w:p>
        </w:tc>
      </w:tr>
      <w:tr>
        <w:tc>
          <w:tcPr>
            <w:tcW w:type="pct" w:w="2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Messaging</w:t>
            </w:r>
          </w:p>
        </w:tc>
        <w:tc>
          <w:tcPr>
            <w:tcW w:type="pct" w:w="3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Azure Service Bus</w:t>
            </w:r>
          </w:p>
        </w:tc>
        <w:tc>
          <w:tcPr>
            <w:tcW w:type="pct" w:w="46%"/>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Decoupled events, retries, durable processing</w:t>
            </w:r>
          </w:p>
        </w:tc>
      </w:tr>
      <w:tr>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Data and metrics</w:t>
            </w:r>
          </w:p>
        </w:tc>
        <w:tc>
          <w:tcPr>
            <w:tcW w:type="pct" w:w="3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Microsoft Fabric, OneLake, Power BI</w:t>
            </w:r>
          </w:p>
        </w:tc>
        <w:tc>
          <w:tcPr>
            <w:tcW w:type="pct" w:w="46%"/>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KPI dashboards, feedback analytics, evaluation reporting</w:t>
            </w:r>
          </w:p>
        </w:tc>
      </w:tr>
      <w:tr>
        <w:tc>
          <w:tcPr>
            <w:tcW w:type="pct" w:w="2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Identity and secrets</w:t>
            </w:r>
          </w:p>
        </w:tc>
        <w:tc>
          <w:tcPr>
            <w:tcW w:type="pct" w:w="3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Entra ID, Managed Identity, Key Vault</w:t>
            </w:r>
          </w:p>
        </w:tc>
        <w:tc>
          <w:tcPr>
            <w:tcW w:type="pct" w:w="46%"/>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Delegated access, least privilege, secretless runtime</w:t>
            </w:r>
          </w:p>
        </w:tc>
      </w:tr>
      <w:tr>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Governance and audit</w:t>
            </w:r>
          </w:p>
        </w:tc>
        <w:tc>
          <w:tcPr>
            <w:tcW w:type="pct" w:w="3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Microsoft Purview, Azure Monitor, Log Analytics</w:t>
            </w:r>
          </w:p>
        </w:tc>
        <w:tc>
          <w:tcPr>
            <w:tcW w:type="pct" w:w="46%"/>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Classification, retention, audit, operational evidence</w:t>
            </w:r>
          </w:p>
        </w:tc>
      </w:tr>
    </w:tbl>
    <w:p>
      <w:pPr>
        <w:pStyle w:val="Heading2"/>
        <w:spacing w:after="80" w:before="190"/>
      </w:pPr>
      <w:r>
        <w:rPr>
          <w:rFonts w:ascii="Segoe UI" w:cs="Segoe UI" w:eastAsia="Segoe UI" w:hAnsi="Segoe UI"/>
          <w:b/>
          <w:bCs/>
          <w:color w:val="2E5C8A"/>
          <w:sz w:val="23"/>
          <w:szCs w:val="23"/>
        </w:rPr>
        <w:t xml:space="preserve">5.2  Security and privacy essentials</w:t>
      </w:r>
    </w:p>
    <w:p>
      <w:pPr>
        <w:pStyle w:val="ListParagraph"/>
        <w:numPr>
          <w:ilvl w:val="0"/>
          <w:numId w:val="1"/>
        </w:numPr>
        <w:spacing w:after="40" w:before="20" w:line="258"/>
      </w:pPr>
      <w:r>
        <w:rPr>
          <w:rFonts w:ascii="Segoe UI" w:cs="Segoe UI" w:eastAsia="Segoe UI" w:hAnsi="Segoe UI"/>
          <w:b/>
          <w:bCs/>
          <w:color w:val="242424"/>
          <w:sz w:val="20"/>
          <w:szCs w:val="20"/>
        </w:rPr>
        <w:t xml:space="preserve">Delegated access only. </w:t>
      </w:r>
      <w:r>
        <w:rPr>
          <w:rFonts w:ascii="Segoe UI" w:cs="Segoe UI" w:eastAsia="Segoe UI" w:hAnsi="Segoe UI"/>
          <w:color w:val="242424"/>
          <w:sz w:val="20"/>
          <w:szCs w:val="20"/>
        </w:rPr>
        <w:t xml:space="preserve">The prototype mirrors the EA’s existing Outlook delegate rights and honours view-only and private-appointment restrictions. Authorisation is enforced at each tool call, not only at login.</w:t>
      </w:r>
    </w:p>
    <w:p>
      <w:pPr>
        <w:pStyle w:val="ListParagraph"/>
        <w:numPr>
          <w:ilvl w:val="0"/>
          <w:numId w:val="1"/>
        </w:numPr>
        <w:spacing w:after="40" w:before="20" w:line="258"/>
      </w:pPr>
      <w:r>
        <w:rPr>
          <w:rFonts w:ascii="Segoe UI" w:cs="Segoe UI" w:eastAsia="Segoe UI" w:hAnsi="Segoe UI"/>
          <w:b/>
          <w:bCs/>
          <w:color w:val="242424"/>
          <w:sz w:val="20"/>
          <w:szCs w:val="20"/>
        </w:rPr>
        <w:t xml:space="preserve">Prompt-injection boundary. </w:t>
      </w:r>
      <w:r>
        <w:rPr>
          <w:rFonts w:ascii="Segoe UI" w:cs="Segoe UI" w:eastAsia="Segoe UI" w:hAnsi="Segoe UI"/>
          <w:color w:val="242424"/>
          <w:sz w:val="20"/>
          <w:szCs w:val="20"/>
        </w:rPr>
        <w:t xml:space="preserve">Retrieved mail, Teams messages and documents are attacker-influenced text. They are wrapped as data; instructions found inside them are never executed. The component that reads untrusted content has no write capability.</w:t>
      </w:r>
    </w:p>
    <w:p>
      <w:pPr>
        <w:pStyle w:val="ListParagraph"/>
        <w:numPr>
          <w:ilvl w:val="0"/>
          <w:numId w:val="1"/>
        </w:numPr>
        <w:spacing w:after="40" w:before="20" w:line="258"/>
      </w:pPr>
      <w:r>
        <w:rPr>
          <w:rFonts w:ascii="Segoe UI" w:cs="Segoe UI" w:eastAsia="Segoe UI" w:hAnsi="Segoe UI"/>
          <w:b/>
          <w:bCs/>
          <w:color w:val="242424"/>
          <w:sz w:val="20"/>
          <w:szCs w:val="20"/>
        </w:rPr>
        <w:t xml:space="preserve">Kill switch. </w:t>
      </w:r>
      <w:r>
        <w:rPr>
          <w:rFonts w:ascii="Segoe UI" w:cs="Segoe UI" w:eastAsia="Segoe UI" w:hAnsi="Segoe UI"/>
          <w:color w:val="242424"/>
          <w:sz w:val="20"/>
          <w:szCs w:val="20"/>
        </w:rPr>
        <w:t xml:space="preserve">Calendar-write operations can be disabled while read-only recommendations continue to function.</w:t>
      </w:r>
    </w:p>
    <w:p>
      <w:pPr>
        <w:pStyle w:val="ListParagraph"/>
        <w:numPr>
          <w:ilvl w:val="0"/>
          <w:numId w:val="1"/>
        </w:numPr>
        <w:spacing w:after="40" w:before="20" w:line="258"/>
      </w:pPr>
      <w:r>
        <w:rPr>
          <w:rFonts w:ascii="Segoe UI" w:cs="Segoe UI" w:eastAsia="Segoe UI" w:hAnsi="Segoe UI"/>
          <w:b/>
          <w:bCs/>
          <w:color w:val="242424"/>
          <w:sz w:val="20"/>
          <w:szCs w:val="20"/>
        </w:rPr>
        <w:t xml:space="preserve">Audit record. </w:t>
      </w:r>
      <w:r>
        <w:rPr>
          <w:rFonts w:ascii="Segoe UI" w:cs="Segoe UI" w:eastAsia="Segoe UI" w:hAnsi="Segoe UI"/>
          <w:color w:val="242424"/>
          <w:sz w:val="20"/>
          <w:szCs w:val="20"/>
        </w:rPr>
        <w:t xml:space="preserve">Actor, action, time, request ID, recommendation ID, evidence references, profile version, policy version, model version, approval ID and outcome — append-only and searchable.</w:t>
      </w:r>
    </w:p>
    <w:p>
      <w:pPr>
        <w:pStyle w:val="ListParagraph"/>
        <w:numPr>
          <w:ilvl w:val="0"/>
          <w:numId w:val="1"/>
        </w:numPr>
        <w:spacing w:after="40" w:before="20" w:line="258"/>
      </w:pPr>
      <w:r>
        <w:rPr>
          <w:rFonts w:ascii="Segoe UI" w:cs="Segoe UI" w:eastAsia="Segoe UI" w:hAnsi="Segoe UI"/>
          <w:b/>
          <w:bCs/>
          <w:color w:val="242424"/>
          <w:sz w:val="20"/>
          <w:szCs w:val="20"/>
        </w:rPr>
        <w:t xml:space="preserve">Data minimisation. </w:t>
      </w:r>
      <w:r>
        <w:rPr>
          <w:rFonts w:ascii="Segoe UI" w:cs="Segoe UI" w:eastAsia="Segoe UI" w:hAnsi="Segoe UI"/>
          <w:color w:val="242424"/>
          <w:sz w:val="20"/>
          <w:szCs w:val="20"/>
        </w:rPr>
        <w:t xml:space="preserve">Prefer source links and short-lived derived summaries over persistent copies of raw mail or documents. Personal constraints are treated as sensitive profile data.</w:t>
      </w:r>
    </w:p>
    <w:p>
      <w:pPr>
        <w:sectPr>
          <w:headerReference w:type="default" r:id="rId14"/>
          <w:footerReference w:type="default" r:id="rId15"/>
          <w:pgSz w:w="12240" w:h="15840" w:orient="portrait"/>
          <w:pgMar w:top="1152" w:right="1224" w:bottom="1008" w:left="1224" w:header="504" w:footer="431" w:gutter="0"/>
          <w:pgNumType/>
          <w:docGrid w:linePitch="360"/>
        </w:sectPr>
      </w:pPr>
    </w:p>
    <w:p>
      <w:pPr>
        <w:pStyle w:val="Heading1"/>
        <w:spacing w:after="70" w:before="220"/>
      </w:pPr>
      <w:r>
        <w:rPr>
          <w:rFonts w:ascii="Segoe UI" w:cs="Segoe UI" w:eastAsia="Segoe UI" w:hAnsi="Segoe UI"/>
          <w:b/>
          <w:bCs/>
          <w:color w:val="1F3A5F"/>
          <w:sz w:val="30"/>
          <w:szCs w:val="30"/>
        </w:rPr>
        <w:t xml:space="preserve">6.  Request lifecycle</w:t>
      </w:r>
    </w:p>
    <w:p>
      <w:pPr>
        <w:keepNext/>
        <w:spacing w:after="70" w:before="0"/>
        <w:jc w:val="center"/>
      </w:pPr>
      <w:r>
        <w:drawing>
          <wp:inline distT="0" distB="0" distL="0" distR="0">
            <wp:extent cx="8020050"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8020050" cy="5438775"/>
                    </a:xfrm>
                    <a:prstGeom prst="rect">
                      <a:avLst/>
                    </a:prstGeom>
                  </pic:spPr>
                </pic:pic>
              </a:graphicData>
            </a:graphic>
          </wp:inline>
        </w:drawing>
      </w:r>
    </w:p>
    <w:p>
      <w:pPr>
        <w:spacing w:after="60" w:before="0"/>
        <w:jc w:val="center"/>
      </w:pPr>
      <w:r>
        <w:rPr>
          <w:rFonts w:ascii="Segoe UI" w:cs="Segoe UI" w:eastAsia="Segoe UI" w:hAnsi="Segoe UI"/>
          <w:i/>
          <w:iCs/>
          <w:color w:val="5A5A5A"/>
          <w:sz w:val="17"/>
          <w:szCs w:val="17"/>
        </w:rPr>
        <w:t xml:space="preserve">Figure 3 — Request lifecycle for a single meeting request. Steps 1–10 produce a recommendation; nothing is written. Step 11 is the governed learning signal. Step 12 is the approval event without which step 13 cannot occur. Step 14 is asynchronous and proposes only.</w:t>
      </w:r>
    </w:p>
    <w:p>
      <w:pPr>
        <w:sectPr>
          <w:headerReference w:type="default" r:id="rId16"/>
          <w:footerReference w:type="default" r:id="rId17"/>
          <w:pgSz w:w="15840" w:h="12240" w:orient="landscape"/>
          <w:pgMar w:top="648" w:right="720" w:bottom="648" w:left="720" w:header="288" w:footer="288" w:gutter="0"/>
          <w:pgNumType/>
          <w:docGrid w:linePitch="360"/>
        </w:sectPr>
      </w:pPr>
    </w:p>
    <w:p>
      <w:pPr>
        <w:pStyle w:val="Heading1"/>
        <w:spacing w:after="100" w:before="220"/>
      </w:pPr>
      <w:r>
        <w:rPr>
          <w:rFonts w:ascii="Segoe UI" w:cs="Segoe UI" w:eastAsia="Segoe UI" w:hAnsi="Segoe UI"/>
          <w:b/>
          <w:bCs/>
          <w:color w:val="1F3A5F"/>
          <w:sz w:val="30"/>
          <w:szCs w:val="30"/>
        </w:rPr>
        <w:t xml:space="preserve">7.  MVP scenarios and acceptance criteria</w:t>
      </w:r>
    </w:p>
    <w:p>
      <w:pPr>
        <w:pStyle w:val="Heading2"/>
        <w:spacing w:after="80" w:before="190"/>
      </w:pPr>
      <w:r>
        <w:rPr>
          <w:rFonts w:ascii="Segoe UI" w:cs="Segoe UI" w:eastAsia="Segoe UI" w:hAnsi="Segoe UI"/>
          <w:b/>
          <w:bCs/>
          <w:color w:val="2E5C8A"/>
          <w:sz w:val="23"/>
          <w:szCs w:val="23"/>
        </w:rPr>
        <w:t xml:space="preserve">7.1  Scenario 1 — Qualified single-executive scheduling</w:t>
      </w:r>
    </w:p>
    <w:p>
      <w:pPr>
        <w:spacing w:after="100" w:before="40" w:line="264"/>
      </w:pPr>
      <w:r>
        <w:rPr>
          <w:rFonts w:ascii="Segoe UI" w:cs="Segoe UI" w:eastAsia="Segoe UI" w:hAnsi="Segoe UI"/>
          <w:b/>
          <w:bCs/>
          <w:color w:val="242424"/>
          <w:sz w:val="20"/>
          <w:szCs w:val="20"/>
        </w:rPr>
        <w:t xml:space="preserve">Problem. </w:t>
      </w:r>
      <w:r>
        <w:rPr>
          <w:rFonts w:ascii="Segoe UI" w:cs="Segoe UI" w:eastAsia="Segoe UI" w:hAnsi="Segoe UI"/>
          <w:color w:val="242424"/>
          <w:sz w:val="20"/>
          <w:szCs w:val="20"/>
        </w:rPr>
        <w:t xml:space="preserve">Requests arrive through informal channels with insufficient detail. EAs spend time chasing requesters, gathering context and renegotiating times.</w:t>
      </w:r>
    </w:p>
    <w:p>
      <w:pPr>
        <w:spacing w:after="100" w:before="40" w:line="264"/>
      </w:pPr>
      <w:r>
        <w:rPr>
          <w:rFonts w:ascii="Segoe UI" w:cs="Segoe UI" w:eastAsia="Segoe UI" w:hAnsi="Segoe UI"/>
          <w:b/>
          <w:bCs/>
          <w:color w:val="242424"/>
          <w:sz w:val="20"/>
          <w:szCs w:val="20"/>
        </w:rPr>
        <w:t xml:space="preserve">Flow. </w:t>
      </w:r>
      <w:r>
        <w:rPr>
          <w:rFonts w:ascii="Segoe UI" w:cs="Segoe UI" w:eastAsia="Segoe UI" w:hAnsi="Segoe UI"/>
          <w:color w:val="242424"/>
          <w:sz w:val="20"/>
          <w:szCs w:val="20"/>
        </w:rPr>
        <w:t xml:space="preserve">A requester submits through Teams or the portal. The intake agent detects a missing objective, justification, attendee or deadline and asks focused follow-up questions in the original channel. The request becomes Qualified only when required decision data is complete. The context agent retrieves permitted mail, Teams conversations, prior meetings and documents. The priority agent applies policy and profile rules to recommend a tier. The scheduling agent evaluates availability, protected blocks, preferred hours, preparation time, travel buffers and duration norms. The EA receives three ranked options with explanations and evidence, then approves, edits, rejects, returns for information, or regenerates. Only after approval does the action agent create a draft event.</w:t>
      </w:r>
    </w:p>
    <w:p>
      <w:pPr>
        <w:spacing w:after="40" w:before="40" w:line="264"/>
      </w:pPr>
      <w:r>
        <w:rPr>
          <w:rFonts w:ascii="Segoe UI" w:cs="Segoe UI" w:eastAsia="Segoe UI" w:hAnsi="Segoe UI"/>
          <w:b/>
          <w:bCs/>
          <w:color w:val="242424"/>
          <w:sz w:val="20"/>
          <w:szCs w:val="20"/>
        </w:rPr>
        <w:t xml:space="preserve">Acceptance criteria</w:t>
      </w:r>
    </w:p>
    <w:p>
      <w:pPr>
        <w:pStyle w:val="ListParagraph"/>
        <w:numPr>
          <w:ilvl w:val="0"/>
          <w:numId w:val="1"/>
        </w:numPr>
        <w:spacing w:after="40" w:before="20" w:line="258"/>
      </w:pPr>
      <w:r>
        <w:rPr>
          <w:rFonts w:ascii="Segoe UI" w:cs="Segoe UI" w:eastAsia="Segoe UI" w:hAnsi="Segoe UI"/>
          <w:color w:val="242424"/>
          <w:sz w:val="20"/>
          <w:szCs w:val="20"/>
        </w:rPr>
        <w:t xml:space="preserve">An incomplete request is identified and qualified without EA intervention.</w:t>
      </w:r>
    </w:p>
    <w:p>
      <w:pPr>
        <w:pStyle w:val="ListParagraph"/>
        <w:numPr>
          <w:ilvl w:val="0"/>
          <w:numId w:val="1"/>
        </w:numPr>
        <w:spacing w:after="40" w:before="20" w:line="258"/>
      </w:pPr>
      <w:r>
        <w:rPr>
          <w:rFonts w:ascii="Segoe UI" w:cs="Segoe UI" w:eastAsia="Segoe UI" w:hAnsi="Segoe UI"/>
          <w:color w:val="242424"/>
          <w:sz w:val="20"/>
          <w:szCs w:val="20"/>
        </w:rPr>
        <w:t xml:space="preserve">The EA receives a concise context package with source references.</w:t>
      </w:r>
    </w:p>
    <w:p>
      <w:pPr>
        <w:pStyle w:val="ListParagraph"/>
        <w:numPr>
          <w:ilvl w:val="0"/>
          <w:numId w:val="1"/>
        </w:numPr>
        <w:spacing w:after="40" w:before="20" w:line="258"/>
      </w:pPr>
      <w:r>
        <w:rPr>
          <w:rFonts w:ascii="Segoe UI" w:cs="Segoe UI" w:eastAsia="Segoe UI" w:hAnsi="Segoe UI"/>
          <w:color w:val="242424"/>
          <w:sz w:val="20"/>
          <w:szCs w:val="20"/>
        </w:rPr>
        <w:t xml:space="preserve">At least three feasible options are produced where feasible options exist.</w:t>
      </w:r>
    </w:p>
    <w:p>
      <w:pPr>
        <w:pStyle w:val="ListParagraph"/>
        <w:numPr>
          <w:ilvl w:val="0"/>
          <w:numId w:val="1"/>
        </w:numPr>
        <w:spacing w:after="40" w:before="20" w:line="258"/>
      </w:pPr>
      <w:r>
        <w:rPr>
          <w:rFonts w:ascii="Segoe UI" w:cs="Segoe UI" w:eastAsia="Segoe UI" w:hAnsi="Segoe UI"/>
          <w:color w:val="242424"/>
          <w:sz w:val="20"/>
          <w:szCs w:val="20"/>
        </w:rPr>
        <w:t xml:space="preserve">Each option shows constraints considered, conflicts avoided and priority rationale.</w:t>
      </w:r>
    </w:p>
    <w:p>
      <w:pPr>
        <w:pStyle w:val="ListParagraph"/>
        <w:numPr>
          <w:ilvl w:val="0"/>
          <w:numId w:val="1"/>
        </w:numPr>
        <w:spacing w:after="40" w:before="20" w:line="258"/>
      </w:pPr>
      <w:r>
        <w:rPr>
          <w:rFonts w:ascii="Segoe UI" w:cs="Segoe UI" w:eastAsia="Segoe UI" w:hAnsi="Segoe UI"/>
          <w:color w:val="242424"/>
          <w:sz w:val="20"/>
          <w:szCs w:val="20"/>
        </w:rPr>
        <w:t xml:space="preserve">No event is created before a recorded EA approval.</w:t>
      </w:r>
    </w:p>
    <w:p>
      <w:pPr>
        <w:pStyle w:val="Heading2"/>
        <w:spacing w:after="80" w:before="190"/>
      </w:pPr>
      <w:r>
        <w:rPr>
          <w:rFonts w:ascii="Segoe UI" w:cs="Segoe UI" w:eastAsia="Segoe UI" w:hAnsi="Segoe UI"/>
          <w:b/>
          <w:bCs/>
          <w:color w:val="2E5C8A"/>
          <w:sz w:val="23"/>
          <w:szCs w:val="23"/>
        </w:rPr>
        <w:t xml:space="preserve">7.2  Scenario 2 — Multi-executive strategic scheduling</w:t>
      </w:r>
    </w:p>
    <w:p>
      <w:pPr>
        <w:spacing w:after="100" w:before="40" w:line="264"/>
      </w:pPr>
      <w:r>
        <w:rPr>
          <w:rFonts w:ascii="Segoe UI" w:cs="Segoe UI" w:eastAsia="Segoe UI" w:hAnsi="Segoe UI"/>
          <w:b/>
          <w:bCs/>
          <w:color w:val="242424"/>
          <w:sz w:val="20"/>
          <w:szCs w:val="20"/>
        </w:rPr>
        <w:t xml:space="preserve">Problem. </w:t>
      </w:r>
      <w:r>
        <w:rPr>
          <w:rFonts w:ascii="Segoe UI" w:cs="Segoe UI" w:eastAsia="Segoe UI" w:hAnsi="Segoe UI"/>
          <w:color w:val="242424"/>
          <w:sz w:val="20"/>
          <w:szCs w:val="20"/>
        </w:rPr>
        <w:t xml:space="preserve">The highest-value case involves several senior leaders whose calendars are constrained, whose priorities differ, and where a proposed meeting competes with protected commitments or travel.</w:t>
      </w:r>
    </w:p>
    <w:p>
      <w:pPr>
        <w:spacing w:after="100" w:before="40" w:line="264"/>
      </w:pPr>
      <w:r>
        <w:rPr>
          <w:rFonts w:ascii="Segoe UI" w:cs="Segoe UI" w:eastAsia="Segoe UI" w:hAnsi="Segoe UI"/>
          <w:b/>
          <w:bCs/>
          <w:color w:val="242424"/>
          <w:sz w:val="20"/>
          <w:szCs w:val="20"/>
        </w:rPr>
        <w:t xml:space="preserve">Flow. </w:t>
      </w:r>
      <w:r>
        <w:rPr>
          <w:rFonts w:ascii="Segoe UI" w:cs="Segoe UI" w:eastAsia="Segoe UI" w:hAnsi="Segoe UI"/>
          <w:color w:val="242424"/>
          <w:sz w:val="20"/>
          <w:szCs w:val="20"/>
        </w:rPr>
        <w:t xml:space="preserve">The request is qualified and required executives identified. Context and priority agents surface strategic signals — CEO sponsorship, board preparation, customer escalation, deadline sensitivity. The scheduling agent evaluates authorised free/busy across all required executives, then applies hard constraints: permission boundaries, non-movable events, protected time, deadline, travel feasibility and minimum preparation buffers. Feasible options are ranked by the transparent score in §4.1. Where an option would require moving an existing commitment, it is displayed as a proposed trade-off only. No action is taken until the EA approves.</w:t>
      </w:r>
    </w:p>
    <w:p>
      <w:pPr>
        <w:spacing w:after="40" w:before="40" w:line="264"/>
      </w:pPr>
      <w:r>
        <w:rPr>
          <w:rFonts w:ascii="Segoe UI" w:cs="Segoe UI" w:eastAsia="Segoe UI" w:hAnsi="Segoe UI"/>
          <w:b/>
          <w:bCs/>
          <w:color w:val="242424"/>
          <w:sz w:val="20"/>
          <w:szCs w:val="20"/>
        </w:rPr>
        <w:t xml:space="preserve">Acceptance criteria</w:t>
      </w:r>
    </w:p>
    <w:p>
      <w:pPr>
        <w:pStyle w:val="ListParagraph"/>
        <w:numPr>
          <w:ilvl w:val="0"/>
          <w:numId w:val="1"/>
        </w:numPr>
        <w:spacing w:after="40" w:before="20" w:line="258"/>
      </w:pPr>
      <w:r>
        <w:rPr>
          <w:rFonts w:ascii="Segoe UI" w:cs="Segoe UI" w:eastAsia="Segoe UI" w:hAnsi="Segoe UI"/>
          <w:color w:val="242424"/>
          <w:sz w:val="20"/>
          <w:szCs w:val="20"/>
        </w:rPr>
        <w:t xml:space="preserve">At least three executive calendars are evaluated using authorised access.</w:t>
      </w:r>
    </w:p>
    <w:p>
      <w:pPr>
        <w:pStyle w:val="ListParagraph"/>
        <w:numPr>
          <w:ilvl w:val="0"/>
          <w:numId w:val="1"/>
        </w:numPr>
        <w:spacing w:after="40" w:before="20" w:line="258"/>
      </w:pPr>
      <w:r>
        <w:rPr>
          <w:rFonts w:ascii="Segoe UI" w:cs="Segoe UI" w:eastAsia="Segoe UI" w:hAnsi="Segoe UI"/>
          <w:color w:val="242424"/>
          <w:sz w:val="20"/>
          <w:szCs w:val="20"/>
        </w:rPr>
        <w:t xml:space="preserve">Infeasible options are identified with the blocking constraint stated.</w:t>
      </w:r>
    </w:p>
    <w:p>
      <w:pPr>
        <w:pStyle w:val="ListParagraph"/>
        <w:numPr>
          <w:ilvl w:val="0"/>
          <w:numId w:val="1"/>
        </w:numPr>
        <w:spacing w:after="40" w:before="20" w:line="258"/>
      </w:pPr>
      <w:r>
        <w:rPr>
          <w:rFonts w:ascii="Segoe UI" w:cs="Segoe UI" w:eastAsia="Segoe UI" w:hAnsi="Segoe UI"/>
          <w:color w:val="242424"/>
          <w:sz w:val="20"/>
          <w:szCs w:val="20"/>
        </w:rPr>
        <w:t xml:space="preserve">At least three ranked alternatives are offered where possible.</w:t>
      </w:r>
    </w:p>
    <w:p>
      <w:pPr>
        <w:pStyle w:val="ListParagraph"/>
        <w:numPr>
          <w:ilvl w:val="0"/>
          <w:numId w:val="1"/>
        </w:numPr>
        <w:spacing w:after="40" w:before="20" w:line="258"/>
      </w:pPr>
      <w:r>
        <w:rPr>
          <w:rFonts w:ascii="Segoe UI" w:cs="Segoe UI" w:eastAsia="Segoe UI" w:hAnsi="Segoe UI"/>
          <w:color w:val="242424"/>
          <w:sz w:val="20"/>
          <w:szCs w:val="20"/>
        </w:rPr>
        <w:t xml:space="preserve">Affected commitments and disruption trade-offs are shown explicitly.</w:t>
      </w:r>
    </w:p>
    <w:p>
      <w:pPr>
        <w:pStyle w:val="ListParagraph"/>
        <w:numPr>
          <w:ilvl w:val="0"/>
          <w:numId w:val="1"/>
        </w:numPr>
        <w:spacing w:after="40" w:before="20" w:line="258"/>
      </w:pPr>
      <w:r>
        <w:rPr>
          <w:rFonts w:ascii="Segoe UI" w:cs="Segoe UI" w:eastAsia="Segoe UI" w:hAnsi="Segoe UI"/>
          <w:color w:val="242424"/>
          <w:sz w:val="20"/>
          <w:szCs w:val="20"/>
        </w:rPr>
        <w:t xml:space="preserve">No existing meeting is ever automatically rescheduled.</w:t>
      </w:r>
    </w:p>
    <w:p>
      <w:pPr>
        <w:pStyle w:val="Heading2"/>
        <w:spacing w:after="80" w:before="190"/>
      </w:pPr>
      <w:r>
        <w:rPr>
          <w:rFonts w:ascii="Segoe UI" w:cs="Segoe UI" w:eastAsia="Segoe UI" w:hAnsi="Segoe UI"/>
          <w:b/>
          <w:bCs/>
          <w:color w:val="2E5C8A"/>
          <w:sz w:val="23"/>
          <w:szCs w:val="23"/>
        </w:rPr>
        <w:t xml:space="preserve">7.3  Scenario 3 — EA feedback-to-preference learning</w:t>
      </w:r>
    </w:p>
    <w:p>
      <w:pPr>
        <w:spacing w:after="100" w:before="40" w:line="264"/>
      </w:pPr>
      <w:r>
        <w:rPr>
          <w:rFonts w:ascii="Segoe UI" w:cs="Segoe UI" w:eastAsia="Segoe UI" w:hAnsi="Segoe UI"/>
          <w:b/>
          <w:bCs/>
          <w:color w:val="242424"/>
          <w:sz w:val="20"/>
          <w:szCs w:val="20"/>
        </w:rPr>
        <w:t xml:space="preserve">Problem. </w:t>
      </w:r>
      <w:r>
        <w:rPr>
          <w:rFonts w:ascii="Segoe UI" w:cs="Segoe UI" w:eastAsia="Segoe UI" w:hAnsi="Segoe UI"/>
          <w:color w:val="242424"/>
          <w:sz w:val="20"/>
          <w:szCs w:val="20"/>
        </w:rPr>
        <w:t xml:space="preserve">EAs hold critical tacit knowledge — working style, acceptable trade-offs, stakeholder sensitivity, travel expectations. The system should capture it safely over time without removing human control.</w:t>
      </w:r>
    </w:p>
    <w:p>
      <w:pPr>
        <w:spacing w:after="100" w:before="40" w:line="264"/>
      </w:pPr>
      <w:r>
        <w:rPr>
          <w:rFonts w:ascii="Segoe UI" w:cs="Segoe UI" w:eastAsia="Segoe UI" w:hAnsi="Segoe UI"/>
          <w:b/>
          <w:bCs/>
          <w:color w:val="242424"/>
          <w:sz w:val="20"/>
          <w:szCs w:val="20"/>
        </w:rPr>
        <w:t xml:space="preserve">Flow. </w:t>
      </w:r>
      <w:r>
        <w:rPr>
          <w:rFonts w:ascii="Segoe UI" w:cs="Segoe UI" w:eastAsia="Segoe UI" w:hAnsi="Segoe UI"/>
          <w:color w:val="242424"/>
          <w:sz w:val="20"/>
          <w:szCs w:val="20"/>
        </w:rPr>
        <w:t xml:space="preserve">The EA selects an alternate time, changes priority, modifies duration, corrects context or rejects a proposal, optionally with a reason code and free-text rationale. The feedback service stores the decision, the original recommendation, the chosen outcome, the reason, supporting references, and the effective profile and policy versions. A pattern detector identifies repeated, consistent corrections and creates a candidate preference — it does not activate it. An authorised approver reviews the evidence and can approve, edit, reject, pause or defer. If approved, the preference is stored as a versioned profile rule with an effective date, and future recommendations state which approved preference influenced the result. The EA can disable or roll it back at any time.</w:t>
      </w:r>
    </w:p>
    <w:p>
      <w:pPr>
        <w:spacing w:after="100" w:before="40" w:line="264"/>
      </w:pPr>
      <w:r>
        <w:rPr>
          <w:rFonts w:ascii="Segoe UI" w:cs="Segoe UI" w:eastAsia="Segoe UI" w:hAnsi="Segoe UI"/>
          <w:b/>
          <w:bCs/>
          <w:color w:val="242424"/>
          <w:sz w:val="20"/>
          <w:szCs w:val="20"/>
        </w:rPr>
        <w:t xml:space="preserve">Worked example. </w:t>
      </w:r>
      <w:r>
        <w:rPr>
          <w:rFonts w:ascii="Segoe UI" w:cs="Segoe UI" w:eastAsia="Segoe UI" w:hAnsi="Segoe UI"/>
          <w:color w:val="242424"/>
          <w:sz w:val="20"/>
          <w:szCs w:val="20"/>
        </w:rPr>
        <w:t xml:space="preserve">In five of seven applicable requests, the EA moves proposed Tuesday-morning appointments for Executive A to later in the day. Proposed rule: "Prefer meetings after 10:00 on Tuesdays for Executive A unless priority is Tier 1 or the requester specifies a non-negotiable deadline." The EA approves, edits the threshold, rejects, or marks it temporary.</w:t>
      </w:r>
    </w:p>
    <w:p>
      <w:pPr>
        <w:spacing w:after="40" w:before="40" w:line="264"/>
      </w:pPr>
      <w:r>
        <w:rPr>
          <w:rFonts w:ascii="Segoe UI" w:cs="Segoe UI" w:eastAsia="Segoe UI" w:hAnsi="Segoe UI"/>
          <w:b/>
          <w:bCs/>
          <w:color w:val="242424"/>
          <w:sz w:val="20"/>
          <w:szCs w:val="20"/>
        </w:rPr>
        <w:t xml:space="preserve">Acceptance criteria</w:t>
      </w:r>
    </w:p>
    <w:p>
      <w:pPr>
        <w:pStyle w:val="ListParagraph"/>
        <w:numPr>
          <w:ilvl w:val="0"/>
          <w:numId w:val="1"/>
        </w:numPr>
        <w:spacing w:after="40" w:before="20" w:line="258"/>
      </w:pPr>
      <w:r>
        <w:rPr>
          <w:rFonts w:ascii="Segoe UI" w:cs="Segoe UI" w:eastAsia="Segoe UI" w:hAnsi="Segoe UI"/>
          <w:color w:val="242424"/>
          <w:sz w:val="20"/>
          <w:szCs w:val="20"/>
        </w:rPr>
        <w:t xml:space="preserve">Structured and free-text feedback can be supplied for every recommendation.</w:t>
      </w:r>
    </w:p>
    <w:p>
      <w:pPr>
        <w:pStyle w:val="ListParagraph"/>
        <w:numPr>
          <w:ilvl w:val="0"/>
          <w:numId w:val="1"/>
        </w:numPr>
        <w:spacing w:after="40" w:before="20" w:line="258"/>
      </w:pPr>
      <w:r>
        <w:rPr>
          <w:rFonts w:ascii="Segoe UI" w:cs="Segoe UI" w:eastAsia="Segoe UI" w:hAnsi="Segoe UI"/>
          <w:color w:val="242424"/>
          <w:sz w:val="20"/>
          <w:szCs w:val="20"/>
        </w:rPr>
        <w:t xml:space="preserve">Every feedback event is auditable and linked to its recommendation, policy version and profile version.</w:t>
      </w:r>
    </w:p>
    <w:p>
      <w:pPr>
        <w:pStyle w:val="ListParagraph"/>
        <w:numPr>
          <w:ilvl w:val="0"/>
          <w:numId w:val="1"/>
        </w:numPr>
        <w:spacing w:after="40" w:before="20" w:line="258"/>
      </w:pPr>
      <w:r>
        <w:rPr>
          <w:rFonts w:ascii="Segoe UI" w:cs="Segoe UI" w:eastAsia="Segoe UI" w:hAnsi="Segoe UI"/>
          <w:color w:val="242424"/>
          <w:sz w:val="20"/>
          <w:szCs w:val="20"/>
        </w:rPr>
        <w:t xml:space="preserve">A repeated pattern generates a candidate preference update.</w:t>
      </w:r>
    </w:p>
    <w:p>
      <w:pPr>
        <w:pStyle w:val="ListParagraph"/>
        <w:numPr>
          <w:ilvl w:val="0"/>
          <w:numId w:val="1"/>
        </w:numPr>
        <w:spacing w:after="40" w:before="20" w:line="258"/>
      </w:pPr>
      <w:r>
        <w:rPr>
          <w:rFonts w:ascii="Segoe UI" w:cs="Segoe UI" w:eastAsia="Segoe UI" w:hAnsi="Segoe UI"/>
          <w:color w:val="242424"/>
          <w:sz w:val="20"/>
          <w:szCs w:val="20"/>
        </w:rPr>
        <w:t xml:space="preserve">Candidate updates never affect recommendations until an authorised person approves them.</w:t>
      </w:r>
    </w:p>
    <w:p>
      <w:pPr>
        <w:pStyle w:val="ListParagraph"/>
        <w:numPr>
          <w:ilvl w:val="0"/>
          <w:numId w:val="1"/>
        </w:numPr>
        <w:spacing w:after="40" w:before="20" w:line="258"/>
      </w:pPr>
      <w:r>
        <w:rPr>
          <w:rFonts w:ascii="Segoe UI" w:cs="Segoe UI" w:eastAsia="Segoe UI" w:hAnsi="Segoe UI"/>
          <w:color w:val="242424"/>
          <w:sz w:val="20"/>
          <w:szCs w:val="20"/>
        </w:rPr>
        <w:t xml:space="preserve">Approved rules are versioned, explainable and reversible.</w:t>
      </w:r>
    </w:p>
    <w:p>
      <w:pPr>
        <w:pStyle w:val="ListParagraph"/>
        <w:numPr>
          <w:ilvl w:val="0"/>
          <w:numId w:val="1"/>
        </w:numPr>
        <w:spacing w:after="40" w:before="20" w:line="258"/>
      </w:pPr>
      <w:r>
        <w:rPr>
          <w:rFonts w:ascii="Segoe UI" w:cs="Segoe UI" w:eastAsia="Segoe UI" w:hAnsi="Segoe UI"/>
          <w:color w:val="242424"/>
          <w:sz w:val="20"/>
          <w:szCs w:val="20"/>
        </w:rPr>
        <w:t xml:space="preserve">The demo shows a before-and-after recommendation changed by an approved preference.</w:t>
      </w:r>
    </w:p>
    <w:p>
      <w:pPr>
        <w:sectPr>
          <w:headerReference w:type="default" r:id="rId18"/>
          <w:footerReference w:type="default" r:id="rId19"/>
          <w:pgSz w:w="12240" w:h="15840" w:orient="portrait"/>
          <w:pgMar w:top="1152" w:right="1224" w:bottom="1008" w:left="1224" w:header="504" w:footer="431" w:gutter="0"/>
          <w:pgNumType/>
          <w:docGrid w:linePitch="360"/>
        </w:sectPr>
      </w:pPr>
    </w:p>
    <w:p>
      <w:pPr>
        <w:pStyle w:val="Heading1"/>
        <w:spacing w:after="70" w:before="220"/>
      </w:pPr>
      <w:r>
        <w:rPr>
          <w:rFonts w:ascii="Segoe UI" w:cs="Segoe UI" w:eastAsia="Segoe UI" w:hAnsi="Segoe UI"/>
          <w:b/>
          <w:bCs/>
          <w:color w:val="1F3A5F"/>
          <w:sz w:val="30"/>
          <w:szCs w:val="30"/>
        </w:rPr>
        <w:t xml:space="preserve">8.  Governed feedback and learning</w:t>
      </w:r>
    </w:p>
    <w:p>
      <w:pPr>
        <w:keepNext/>
        <w:spacing w:after="70" w:before="0"/>
        <w:jc w:val="center"/>
      </w:pPr>
      <w:r>
        <w:drawing>
          <wp:inline distT="0" distB="0" distL="0" distR="0">
            <wp:extent cx="8963025"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8963025" cy="4962525"/>
                    </a:xfrm>
                    <a:prstGeom prst="rect">
                      <a:avLst/>
                    </a:prstGeom>
                  </pic:spPr>
                </pic:pic>
              </a:graphicData>
            </a:graphic>
          </wp:inline>
        </w:drawing>
      </w:r>
    </w:p>
    <w:p>
      <w:pPr>
        <w:spacing w:after="60" w:before="0"/>
        <w:jc w:val="center"/>
      </w:pPr>
      <w:r>
        <w:rPr>
          <w:rFonts w:ascii="Segoe UI" w:cs="Segoe UI" w:eastAsia="Segoe UI" w:hAnsi="Segoe UI"/>
          <w:i/>
          <w:iCs/>
          <w:color w:val="5A5A5A"/>
          <w:sz w:val="17"/>
          <w:szCs w:val="17"/>
        </w:rPr>
        <w:t xml:space="preserve">Figure 4 — Governed learning. Feedback splits into an immutable audit record and an evidence store that is never active in recommendations. A pattern becomes a candidate, a candidate requires an authorised approval, and only the versioned profile and policy store influences future output.</w:t>
      </w:r>
    </w:p>
    <w:p>
      <w:pPr>
        <w:sectPr>
          <w:headerReference w:type="default" r:id="rId20"/>
          <w:footerReference w:type="default" r:id="rId21"/>
          <w:pgSz w:w="15840" w:h="12240" w:orient="landscape"/>
          <w:pgMar w:top="648" w:right="720" w:bottom="648" w:left="720" w:header="288" w:footer="288" w:gutter="0"/>
          <w:pgNumType/>
          <w:docGrid w:linePitch="360"/>
        </w:sectPr>
      </w:pPr>
    </w:p>
    <w:p>
      <w:pPr>
        <w:pStyle w:val="Heading1"/>
        <w:spacing w:after="100" w:before="220"/>
      </w:pPr>
      <w:r>
        <w:rPr>
          <w:rFonts w:ascii="Segoe UI" w:cs="Segoe UI" w:eastAsia="Segoe UI" w:hAnsi="Segoe UI"/>
          <w:b/>
          <w:bCs/>
          <w:color w:val="1F3A5F"/>
          <w:sz w:val="30"/>
          <w:szCs w:val="30"/>
        </w:rPr>
        <w:t xml:space="preserve">8.1  Learning boundaries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single" w:color="D6D6D2" w:sz="4"/>
              <w:left w:val="single" w:color="D6D6D2" w:sz="4"/>
              <w:bottom w:val="single" w:color="D6D6D2" w:sz="4"/>
              <w:right w:val="single" w:color="D6D6D2" w:sz="4"/>
            </w:tcBorders>
            <w:shd w:fill="17564A"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Learning type</w:t>
            </w:r>
          </w:p>
        </w:tc>
        <w:tc>
          <w:tcPr>
            <w:tcW w:type="pct" w:w="34%"/>
            <w:tcBorders>
              <w:top w:val="single" w:color="D6D6D2" w:sz="4"/>
              <w:left w:val="single" w:color="D6D6D2" w:sz="4"/>
              <w:bottom w:val="single" w:color="D6D6D2" w:sz="4"/>
              <w:right w:val="single" w:color="D6D6D2" w:sz="4"/>
            </w:tcBorders>
            <w:shd w:fill="17564A"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Example</w:t>
            </w:r>
          </w:p>
        </w:tc>
        <w:tc>
          <w:tcPr>
            <w:tcW w:type="pct" w:w="22%"/>
            <w:tcBorders>
              <w:top w:val="single" w:color="D6D6D2" w:sz="4"/>
              <w:left w:val="single" w:color="D6D6D2" w:sz="4"/>
              <w:bottom w:val="single" w:color="D6D6D2" w:sz="4"/>
              <w:right w:val="single" w:color="D6D6D2" w:sz="4"/>
            </w:tcBorders>
            <w:shd w:fill="17564A"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Applied when</w:t>
            </w:r>
          </w:p>
        </w:tc>
        <w:tc>
          <w:tcPr>
            <w:tcW w:type="pct" w:w="22%"/>
            <w:tcBorders>
              <w:top w:val="single" w:color="D6D6D2" w:sz="4"/>
              <w:left w:val="single" w:color="D6D6D2" w:sz="4"/>
              <w:bottom w:val="single" w:color="D6D6D2" w:sz="4"/>
              <w:right w:val="single" w:color="D6D6D2" w:sz="4"/>
            </w:tcBorders>
            <w:shd w:fill="17564A"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Approval required</w:t>
            </w:r>
          </w:p>
        </w:tc>
      </w:tr>
      <w:tr>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Per-request feedback</w:t>
            </w:r>
          </w:p>
        </w:tc>
        <w:tc>
          <w:tcPr>
            <w:tcW w:type="pct" w:w="34%"/>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"This request is more urgent than rated."</w:t>
            </w:r>
          </w:p>
        </w:tc>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Current request only</w:t>
            </w:r>
          </w:p>
        </w:tc>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EA correction is immediate for that request</w:t>
            </w:r>
          </w:p>
        </w:tc>
      </w:tr>
      <w:tr>
        <w:tc>
          <w:tcPr>
            <w:tcW w:type="pct" w:w="2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Executive preference candidate</w:t>
            </w:r>
          </w:p>
        </w:tc>
        <w:tc>
          <w:tcPr>
            <w:tcW w:type="pct" w:w="34%"/>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"Avoid meetings before 09:30."</w:t>
            </w:r>
          </w:p>
        </w:tc>
        <w:tc>
          <w:tcPr>
            <w:tcW w:type="pct" w:w="2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Future requests, after approval</w:t>
            </w:r>
          </w:p>
        </w:tc>
        <w:tc>
          <w:tcPr>
            <w:tcW w:type="pct" w:w="2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EA or profile owner</w:t>
            </w:r>
          </w:p>
        </w:tc>
      </w:tr>
      <w:tr>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Scheduling rule candidate</w:t>
            </w:r>
          </w:p>
        </w:tc>
        <w:tc>
          <w:tcPr>
            <w:tcW w:type="pct" w:w="34%"/>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"Add a 30-minute buffer after external meetings."</w:t>
            </w:r>
          </w:p>
        </w:tc>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Future requests, after approval</w:t>
            </w:r>
          </w:p>
        </w:tc>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EA</w:t>
            </w:r>
          </w:p>
        </w:tc>
      </w:tr>
      <w:tr>
        <w:tc>
          <w:tcPr>
            <w:tcW w:type="pct" w:w="2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Organisation policy candidate</w:t>
            </w:r>
          </w:p>
        </w:tc>
        <w:tc>
          <w:tcPr>
            <w:tcW w:type="pct" w:w="34%"/>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"Board-related requests outrank ordinary operating meetings."</w:t>
            </w:r>
          </w:p>
        </w:tc>
        <w:tc>
          <w:tcPr>
            <w:tcW w:type="pct" w:w="2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Cross-executive, after approval</w:t>
            </w:r>
          </w:p>
        </w:tc>
        <w:tc>
          <w:tcPr>
            <w:tcW w:type="pct" w:w="22%"/>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Business / policy owner</w:t>
            </w:r>
          </w:p>
        </w:tc>
      </w:tr>
      <w:tr>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Product-quality feedback</w:t>
            </w:r>
          </w:p>
        </w:tc>
        <w:tc>
          <w:tcPr>
            <w:tcW w:type="pct" w:w="34%"/>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"The agent missed a relevant Teams discussion."</w:t>
            </w:r>
          </w:p>
        </w:tc>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Evaluation backlog only</w:t>
            </w:r>
          </w:p>
        </w:tc>
        <w:tc>
          <w:tcPr>
            <w:tcW w:type="pct" w:w="22%"/>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Product and engineering governance</w:t>
            </w:r>
          </w:p>
        </w:tc>
      </w:tr>
    </w:tbl>
    <w:p>
      <w:pPr>
        <w:spacing w:after="60" w:before="40" w:line="264"/>
      </w:pPr>
      <w:r>
        <w:rPr>
          <w:rFonts w:ascii="Segoe UI" w:cs="Segoe UI" w:eastAsia="Segoe UI" w:hAnsi="Segoe UI"/>
          <w:color w:val="242424"/>
          <w:sz w:val="20"/>
          <w:szCs w:val="20"/>
        </w:rPr>
        <w:t xml:space="preserve"/>
      </w:r>
    </w:p>
    <w:p>
      <w:pPr>
        <w:spacing w:after="100" w:before="40" w:line="264"/>
      </w:pPr>
      <w:r>
        <w:rPr>
          <w:rFonts w:ascii="Segoe UI" w:cs="Segoe UI" w:eastAsia="Segoe UI" w:hAnsi="Segoe UI"/>
          <w:b/>
          <w:bCs/>
          <w:color w:val="242424"/>
          <w:sz w:val="20"/>
          <w:szCs w:val="20"/>
        </w:rPr>
        <w:t xml:space="preserve">Promotion controls. </w:t>
      </w:r>
      <w:r>
        <w:rPr>
          <w:rFonts w:ascii="Segoe UI" w:cs="Segoe UI" w:eastAsia="Segoe UI" w:hAnsi="Segoe UI"/>
          <w:color w:val="242424"/>
          <w:sz w:val="20"/>
          <w:szCs w:val="20"/>
        </w:rPr>
        <w:t xml:space="preserve">A repeat-pattern threshold (three or more consistent corrections in a defined period); validation against higher-priority enterprise policy; an approver determined by rule scope; and a review card showing evidence, confidence, potential impact, exceptions, effective date and rollback. Cross-executive generalisation requires an enterprise policy owner.</w:t>
      </w:r>
    </w:p>
    <w:p>
      <w:pPr>
        <w:pStyle w:val="Heading1"/>
        <w:spacing w:after="100" w:before="220"/>
      </w:pPr>
      <w:r>
        <w:rPr>
          <w:rFonts w:ascii="Segoe UI" w:cs="Segoe UI" w:eastAsia="Segoe UI" w:hAnsi="Segoe UI"/>
          <w:b/>
          <w:bCs/>
          <w:color w:val="1F3A5F"/>
          <w:sz w:val="30"/>
          <w:szCs w:val="30"/>
        </w:rPr>
        <w:t xml:space="preserve">9.  Demo storyline</w:t>
      </w:r>
    </w:p>
    <w:p>
      <w:pPr>
        <w:spacing w:after="100" w:before="40" w:line="264"/>
      </w:pPr>
      <w:r>
        <w:rPr>
          <w:rFonts w:ascii="Segoe UI" w:cs="Segoe UI" w:eastAsia="Segoe UI" w:hAnsi="Segoe UI"/>
          <w:color w:val="242424"/>
          <w:sz w:val="20"/>
          <w:szCs w:val="20"/>
        </w:rPr>
        <w:t xml:space="preserve">One connected scenario carries the full value chain. A senior leader requests a 45-minute decision meeting with the CEO, CFO and operations leader ahead of a planning deadline. The submitted request lacks business justification and supporting artefacts.</w:t>
      </w:r>
    </w:p>
    <w:p>
      <w:pPr>
        <w:pStyle w:val="ListParagraph"/>
        <w:numPr>
          <w:ilvl w:val="0"/>
          <w:numId w:val="2"/>
        </w:numPr>
        <w:spacing w:after="40" w:before="20" w:line="258"/>
      </w:pPr>
      <w:r>
        <w:rPr>
          <w:rFonts w:ascii="Segoe UI" w:cs="Segoe UI" w:eastAsia="Segoe UI" w:hAnsi="Segoe UI"/>
          <w:color w:val="242424"/>
          <w:sz w:val="20"/>
          <w:szCs w:val="20"/>
        </w:rPr>
        <w:t xml:space="preserve">The intake agent asks the requester for the missing objective, the decision required, and the supporting planning document.</w:t>
      </w:r>
    </w:p>
    <w:p>
      <w:pPr>
        <w:pStyle w:val="ListParagraph"/>
        <w:numPr>
          <w:ilvl w:val="0"/>
          <w:numId w:val="2"/>
        </w:numPr>
        <w:spacing w:after="40" w:before="20" w:line="258"/>
      </w:pPr>
      <w:r>
        <w:rPr>
          <w:rFonts w:ascii="Segoe UI" w:cs="Segoe UI" w:eastAsia="Segoe UI" w:hAnsi="Segoe UI"/>
          <w:color w:val="242424"/>
          <w:sz w:val="20"/>
          <w:szCs w:val="20"/>
        </w:rPr>
        <w:t xml:space="preserve">The context agent surfaces permitted supporting communications, related prior meetings and stakeholder context.</w:t>
      </w:r>
    </w:p>
    <w:p>
      <w:pPr>
        <w:pStyle w:val="ListParagraph"/>
        <w:numPr>
          <w:ilvl w:val="0"/>
          <w:numId w:val="2"/>
        </w:numPr>
        <w:spacing w:after="40" w:before="20" w:line="258"/>
      </w:pPr>
      <w:r>
        <w:rPr>
          <w:rFonts w:ascii="Segoe UI" w:cs="Segoe UI" w:eastAsia="Segoe UI" w:hAnsi="Segoe UI"/>
          <w:color w:val="242424"/>
          <w:sz w:val="20"/>
          <w:szCs w:val="20"/>
        </w:rPr>
        <w:t xml:space="preserve">The priority agent identifies CEO sponsorship and deadline sensitivity, recommending a strategic tier with visible evidence.</w:t>
      </w:r>
    </w:p>
    <w:p>
      <w:pPr>
        <w:pStyle w:val="ListParagraph"/>
        <w:numPr>
          <w:ilvl w:val="0"/>
          <w:numId w:val="2"/>
        </w:numPr>
        <w:spacing w:after="40" w:before="20" w:line="258"/>
      </w:pPr>
      <w:r>
        <w:rPr>
          <w:rFonts w:ascii="Segoe UI" w:cs="Segoe UI" w:eastAsia="Segoe UI" w:hAnsi="Segoe UI"/>
          <w:color w:val="242424"/>
          <w:sz w:val="20"/>
          <w:szCs w:val="20"/>
        </w:rPr>
        <w:t xml:space="preserve">The scheduling agent evaluates authorised availability, protected blocks, travel buffers and executive preferences.</w:t>
      </w:r>
    </w:p>
    <w:p>
      <w:pPr>
        <w:pStyle w:val="ListParagraph"/>
        <w:numPr>
          <w:ilvl w:val="0"/>
          <w:numId w:val="2"/>
        </w:numPr>
        <w:spacing w:after="40" w:before="20" w:line="258"/>
      </w:pPr>
      <w:r>
        <w:rPr>
          <w:rFonts w:ascii="Segoe UI" w:cs="Segoe UI" w:eastAsia="Segoe UI" w:hAnsi="Segoe UI"/>
          <w:color w:val="242424"/>
          <w:sz w:val="20"/>
          <w:szCs w:val="20"/>
        </w:rPr>
        <w:t xml:space="preserve">The EA receives three ranked options: the first meets the deadline without disruption; the second compresses CFO preparation time; the third misses the decision deadline.</w:t>
      </w:r>
    </w:p>
    <w:p>
      <w:pPr>
        <w:pStyle w:val="ListParagraph"/>
        <w:numPr>
          <w:ilvl w:val="0"/>
          <w:numId w:val="2"/>
        </w:numPr>
        <w:spacing w:after="40" w:before="20" w:line="258"/>
      </w:pPr>
      <w:r>
        <w:rPr>
          <w:rFonts w:ascii="Segoe UI" w:cs="Segoe UI" w:eastAsia="Segoe UI" w:hAnsi="Segoe UI"/>
          <w:color w:val="242424"/>
          <w:sz w:val="20"/>
          <w:szCs w:val="20"/>
        </w:rPr>
        <w:t xml:space="preserve">The EA selects the first option, edits the attendee list, and explicitly authorises a draft invitation.</w:t>
      </w:r>
    </w:p>
    <w:p>
      <w:pPr>
        <w:pStyle w:val="ListParagraph"/>
        <w:numPr>
          <w:ilvl w:val="0"/>
          <w:numId w:val="2"/>
        </w:numPr>
        <w:spacing w:after="40" w:before="20" w:line="258"/>
      </w:pPr>
      <w:r>
        <w:rPr>
          <w:rFonts w:ascii="Segoe UI" w:cs="Segoe UI" w:eastAsia="Segoe UI" w:hAnsi="Segoe UI"/>
          <w:color w:val="242424"/>
          <w:sz w:val="20"/>
          <w:szCs w:val="20"/>
        </w:rPr>
        <w:t xml:space="preserve">The action agent creates the draft event. It does not send.</w:t>
      </w:r>
    </w:p>
    <w:p>
      <w:pPr>
        <w:pStyle w:val="ListParagraph"/>
        <w:numPr>
          <w:ilvl w:val="0"/>
          <w:numId w:val="2"/>
        </w:numPr>
        <w:spacing w:after="40" w:before="20" w:line="258"/>
      </w:pPr>
      <w:r>
        <w:rPr>
          <w:rFonts w:ascii="Segoe UI" w:cs="Segoe UI" w:eastAsia="Segoe UI" w:hAnsi="Segoe UI"/>
          <w:color w:val="242424"/>
          <w:sz w:val="20"/>
          <w:szCs w:val="20"/>
        </w:rPr>
        <w:t xml:space="preserve">After similar corrections across several requests, the agent proposes a Tuesday-morning preference rule for one executive. The EA reviews the evidence and approves the versioned preference.</w:t>
      </w:r>
    </w:p>
    <w:p>
      <w:pPr>
        <w:pStyle w:val="ListParagraph"/>
        <w:numPr>
          <w:ilvl w:val="0"/>
          <w:numId w:val="2"/>
        </w:numPr>
        <w:spacing w:after="40" w:before="20" w:line="258"/>
      </w:pPr>
      <w:r>
        <w:rPr>
          <w:rFonts w:ascii="Segoe UI" w:cs="Segoe UI" w:eastAsia="Segoe UI" w:hAnsi="Segoe UI"/>
          <w:color w:val="242424"/>
          <w:sz w:val="20"/>
          <w:szCs w:val="20"/>
        </w:rPr>
        <w:t xml:space="preserve">A subsequent recommendation visibly applies the approved preference and explains its effect.</w:t>
      </w:r>
    </w:p>
    <w:p>
      <w:pPr>
        <w:spacing w:after="60" w:before="40" w:line="264"/>
      </w:pPr>
      <w:r>
        <w:rPr>
          <w:rFonts w:ascii="Segoe UI" w:cs="Segoe UI" w:eastAsia="Segoe UI" w:hAnsi="Segoe UI"/>
          <w:color w:val="242424"/>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11F4B" w:sz="4"/>
              <w:left w:val="single" w:color="B11F4B" w:sz="18"/>
              <w:bottom w:val="single" w:color="B11F4B" w:sz="4"/>
              <w:right w:val="single" w:color="B11F4B" w:sz="4"/>
            </w:tcBorders>
            <w:shd w:fill="FBF7F8" w:color="auto" w:val="clear"/>
            <w:tcMar>
              <w:top w:type="dxa" w:w="120"/>
              <w:left w:type="dxa" w:w="150"/>
              <w:bottom w:type="dxa" w:w="120"/>
              <w:right w:type="dxa" w:w="150"/>
            </w:tcMar>
          </w:tcPr>
          <w:p>
            <w:pPr>
              <w:spacing w:after="50"/>
            </w:pPr>
            <w:r>
              <w:rPr>
                <w:rFonts w:ascii="Segoe UI" w:cs="Segoe UI" w:eastAsia="Segoe UI" w:hAnsi="Segoe UI"/>
                <w:b/>
                <w:bCs/>
                <w:color w:val="B11F4B"/>
                <w:sz w:val="20"/>
                <w:szCs w:val="20"/>
              </w:rPr>
              <w:t xml:space="preserve">Why beat 9 is the one that matters</w:t>
            </w:r>
          </w:p>
          <w:p>
            <w:pPr>
              <w:spacing w:after="30" w:line="258"/>
            </w:pPr>
            <w:r>
              <w:rPr>
                <w:rFonts w:ascii="Segoe UI" w:cs="Segoe UI" w:eastAsia="Segoe UI" w:hAnsi="Segoe UI"/>
                <w:sz w:val="19"/>
                <w:szCs w:val="19"/>
              </w:rPr>
              <w:t xml:space="preserve">Any prototype can show a system that produces an answer. The persuasive moment is the before-and-after: the same request, answered differently, because a human approved a rule the system proposed from its own observed evidence — and can revoke it just as easily.</w:t>
            </w:r>
          </w:p>
        </w:tc>
      </w:tr>
    </w:tbl>
    <w:p>
      <w:pPr>
        <w:pStyle w:val="Heading1"/>
        <w:spacing w:after="100" w:before="220"/>
      </w:pPr>
      <w:r>
        <w:rPr>
          <w:rFonts w:ascii="Segoe UI" w:cs="Segoe UI" w:eastAsia="Segoe UI" w:hAnsi="Segoe UI"/>
          <w:b/>
          <w:bCs/>
          <w:color w:val="1F3A5F"/>
          <w:sz w:val="30"/>
          <w:szCs w:val="30"/>
        </w:rPr>
        <w:t xml:space="preserve">10.  Evaluation measures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D6D6D2" w:sz="4"/>
              <w:left w:val="single" w:color="D6D6D2" w:sz="4"/>
              <w:bottom w:val="single" w:color="D6D6D2" w:sz="4"/>
              <w:right w:val="single" w:color="D6D6D2" w:sz="4"/>
            </w:tcBorders>
            <w:shd w:fill="2E5C8A"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Measure</w:t>
            </w:r>
          </w:p>
        </w:tc>
        <w:tc>
          <w:tcPr>
            <w:tcW w:type="pct" w:w="60%"/>
            <w:tcBorders>
              <w:top w:val="single" w:color="D6D6D2" w:sz="4"/>
              <w:left w:val="single" w:color="D6D6D2" w:sz="4"/>
              <w:bottom w:val="single" w:color="D6D6D2" w:sz="4"/>
              <w:right w:val="single" w:color="D6D6D2" w:sz="4"/>
            </w:tcBorders>
            <w:shd w:fill="2E5C8A"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MVP target</w:t>
            </w:r>
          </w:p>
        </w:tc>
      </w:tr>
      <w:tr>
        <w:tc>
          <w:tcPr>
            <w:tcW w:type="pct" w:w="4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Intake completeness before EA review</w:t>
            </w:r>
          </w:p>
        </w:tc>
        <w:tc>
          <w:tcPr>
            <w:tcW w:type="pct" w:w="6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At least 80% of requests decision-ready after agent qualification</w:t>
            </w:r>
          </w:p>
        </w:tc>
      </w:tr>
      <w:tr>
        <w:tc>
          <w:tcPr>
            <w:tcW w:type="pct" w:w="4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EA effort per qualified request</w:t>
            </w:r>
          </w:p>
        </w:tc>
        <w:tc>
          <w:tcPr>
            <w:tcW w:type="pct" w:w="6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25–40% reduction in coordination and context-gathering time</w:t>
            </w:r>
          </w:p>
        </w:tc>
      </w:tr>
      <w:tr>
        <w:tc>
          <w:tcPr>
            <w:tcW w:type="pct" w:w="4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Clarification and scheduling exchanges</w:t>
            </w:r>
          </w:p>
        </w:tc>
        <w:tc>
          <w:tcPr>
            <w:tcW w:type="pct" w:w="6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30% or greater reduction in back-and-forth messages</w:t>
            </w:r>
          </w:p>
        </w:tc>
      </w:tr>
      <w:tr>
        <w:tc>
          <w:tcPr>
            <w:tcW w:type="pct" w:w="4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Recommendation usefulness</w:t>
            </w:r>
          </w:p>
        </w:tc>
        <w:tc>
          <w:tcPr>
            <w:tcW w:type="pct" w:w="6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EA accepts or lightly edits a recommended option in 60–70% of eligible cases</w:t>
            </w:r>
          </w:p>
        </w:tc>
      </w:tr>
      <w:tr>
        <w:tc>
          <w:tcPr>
            <w:tcW w:type="pct" w:w="4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Context-package usefulness</w:t>
            </w:r>
          </w:p>
        </w:tc>
        <w:tc>
          <w:tcPr>
            <w:tcW w:type="pct" w:w="6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At least 80% positive EA rating</w:t>
            </w:r>
          </w:p>
        </w:tc>
      </w:tr>
      <w:tr>
        <w:tc>
          <w:tcPr>
            <w:tcW w:type="pct" w:w="4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Explainability coverage</w:t>
            </w:r>
          </w:p>
        </w:tc>
        <w:tc>
          <w:tcPr>
            <w:tcW w:type="pct" w:w="6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100% of recommendations show evidence, constraints, policy factors and confidence</w:t>
            </w:r>
          </w:p>
        </w:tc>
      </w:tr>
      <w:tr>
        <w:tc>
          <w:tcPr>
            <w:tcW w:type="pct" w:w="4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Approval compliance</w:t>
            </w:r>
          </w:p>
        </w:tc>
        <w:tc>
          <w:tcPr>
            <w:tcW w:type="pct" w:w="6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100% of calendar writes have a recorded EA approval</w:t>
            </w:r>
          </w:p>
        </w:tc>
      </w:tr>
      <w:tr>
        <w:tc>
          <w:tcPr>
            <w:tcW w:type="pct" w:w="4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Unauthorised actions</w:t>
            </w:r>
          </w:p>
        </w:tc>
        <w:tc>
          <w:tcPr>
            <w:tcW w:type="pct" w:w="6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Zero</w:t>
            </w:r>
          </w:p>
        </w:tc>
      </w:tr>
      <w:tr>
        <w:tc>
          <w:tcPr>
            <w:tcW w:type="pct" w:w="4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Feedback learning governance</w:t>
            </w:r>
          </w:p>
        </w:tc>
        <w:tc>
          <w:tcPr>
            <w:tcW w:type="pct" w:w="6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100% of persistent preference changes have an authorised approval and version record</w:t>
            </w:r>
          </w:p>
        </w:tc>
      </w:tr>
    </w:tbl>
    <w:p>
      <w:pPr>
        <w:spacing w:after="60" w:before="40" w:line="264"/>
      </w:pPr>
      <w:r>
        <w:rPr>
          <w:rFonts w:ascii="Segoe UI" w:cs="Segoe UI" w:eastAsia="Segoe UI" w:hAnsi="Segoe UI"/>
          <w:color w:val="242424"/>
          <w:sz w:val="20"/>
          <w:szCs w:val="20"/>
        </w:rPr>
        <w:t xml:space="preserve"/>
      </w:r>
    </w:p>
    <w:p>
      <w:pPr>
        <w:spacing w:after="100" w:before="40" w:line="264"/>
      </w:pPr>
      <w:r>
        <w:rPr>
          <w:rFonts w:ascii="Segoe UI" w:cs="Segoe UI" w:eastAsia="Segoe UI" w:hAnsi="Segoe UI"/>
          <w:b/>
          <w:bCs/>
          <w:color w:val="242424"/>
          <w:sz w:val="20"/>
          <w:szCs w:val="20"/>
        </w:rPr>
        <w:t xml:space="preserve">Evaluation set. </w:t>
      </w:r>
      <w:r>
        <w:rPr>
          <w:rFonts w:ascii="Segoe UI" w:cs="Segoe UI" w:eastAsia="Segoe UI" w:hAnsi="Segoe UI"/>
          <w:color w:val="242424"/>
          <w:sz w:val="20"/>
          <w:szCs w:val="20"/>
        </w:rPr>
        <w:t xml:space="preserve">Realistic anonymised or synthetic examples covering: incomplete requests, high-priority versus routine, conflicting preferences, multi-executive conflicts, board-preparation protections, travel constraints, restricted calendar visibility, misleading context, EA overrides, and prompt-injection-like text inside retrieved content.</w:t>
      </w:r>
    </w:p>
    <w:p>
      <w:pPr>
        <w:pStyle w:val="Heading1"/>
        <w:spacing w:after="100" w:before="220"/>
      </w:pPr>
      <w:r>
        <w:rPr>
          <w:rFonts w:ascii="Segoe UI" w:cs="Segoe UI" w:eastAsia="Segoe UI" w:hAnsi="Segoe UI"/>
          <w:b/>
          <w:bCs/>
          <w:color w:val="1F3A5F"/>
          <w:sz w:val="30"/>
          <w:szCs w:val="30"/>
        </w:rPr>
        <w:t xml:space="preserve">11.  Build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3%"/>
            <w:tcBorders>
              <w:top w:val="single" w:color="D6D6D2" w:sz="4"/>
              <w:left w:val="single" w:color="D6D6D2" w:sz="4"/>
              <w:bottom w:val="single" w:color="D6D6D2" w:sz="4"/>
              <w:right w:val="single" w:color="D6D6D2" w:sz="4"/>
            </w:tcBorders>
            <w:shd w:fill="7A5602"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Phase</w:t>
            </w:r>
          </w:p>
        </w:tc>
        <w:tc>
          <w:tcPr>
            <w:tcW w:type="pct" w:w="47%"/>
            <w:tcBorders>
              <w:top w:val="single" w:color="D6D6D2" w:sz="4"/>
              <w:left w:val="single" w:color="D6D6D2" w:sz="4"/>
              <w:bottom w:val="single" w:color="D6D6D2" w:sz="4"/>
              <w:right w:val="single" w:color="D6D6D2" w:sz="4"/>
            </w:tcBorders>
            <w:shd w:fill="7A5602"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Focus</w:t>
            </w:r>
          </w:p>
        </w:tc>
        <w:tc>
          <w:tcPr>
            <w:tcW w:type="pct" w:w="40%"/>
            <w:tcBorders>
              <w:top w:val="single" w:color="D6D6D2" w:sz="4"/>
              <w:left w:val="single" w:color="D6D6D2" w:sz="4"/>
              <w:bottom w:val="single" w:color="D6D6D2" w:sz="4"/>
              <w:right w:val="single" w:color="D6D6D2" w:sz="4"/>
            </w:tcBorders>
            <w:shd w:fill="7A5602"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Demo checkpoint</w:t>
            </w:r>
          </w:p>
        </w:tc>
      </w:tr>
      <w:tr>
        <w:tc>
          <w:tcPr>
            <w:tcW w:type="pct" w:w="13%"/>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0  ·  1–2 wks</w:t>
            </w:r>
          </w:p>
        </w:tc>
        <w:tc>
          <w:tcPr>
            <w:tcW w:type="pct" w:w="47%"/>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Discovery: cohort, schema, consent model, preference workshops, priority taxonomy, threat model</w:t>
            </w:r>
          </w:p>
        </w:tc>
        <w:tc>
          <w:tcPr>
            <w:tcW w:type="pct" w:w="4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Agreed MVP scope and the no-autonomous-scheduling policy</w:t>
            </w:r>
          </w:p>
        </w:tc>
      </w:tr>
      <w:tr>
        <w:tc>
          <w:tcPr>
            <w:tcW w:type="pct" w:w="13%"/>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1  ·  2 wks</w:t>
            </w:r>
          </w:p>
        </w:tc>
        <w:tc>
          <w:tcPr>
            <w:tcW w:type="pct" w:w="47%"/>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Teams intake, request lifecycle, qualification agent, Entra auth, audit foundation</w:t>
            </w:r>
          </w:p>
        </w:tc>
        <w:tc>
          <w:tcPr>
            <w:tcW w:type="pct" w:w="4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A poorly formed request is automatically qualified before EA review</w:t>
            </w:r>
          </w:p>
        </w:tc>
      </w:tr>
      <w:tr>
        <w:tc>
          <w:tcPr>
            <w:tcW w:type="pct" w:w="13%"/>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2  ·  2–3 wks</w:t>
            </w:r>
          </w:p>
        </w:tc>
        <w:tc>
          <w:tcPr>
            <w:tcW w:type="pct" w:w="47%"/>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Executive profiles, Graph calendar reads, scoped context retrieval, single-executive recommendations, explanation cards</w:t>
            </w:r>
          </w:p>
        </w:tc>
        <w:tc>
          <w:tcPr>
            <w:tcW w:type="pct" w:w="4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An EA receives a qualified request, evidence-backed context and explained options for one executive</w:t>
            </w:r>
          </w:p>
        </w:tc>
      </w:tr>
      <w:tr>
        <w:tc>
          <w:tcPr>
            <w:tcW w:type="pct" w:w="13%"/>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3  ·  2–3 wks</w:t>
            </w:r>
          </w:p>
        </w:tc>
        <w:tc>
          <w:tcPr>
            <w:tcW w:type="pct" w:w="47%"/>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Cross-calendar optimisation, trade-off display, approval workflow, draft-event creation, feedback capture, candidate rules</w:t>
            </w:r>
          </w:p>
        </w:tc>
        <w:tc>
          <w:tcPr>
            <w:tcW w:type="pct" w:w="4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A strategic multi-executive request produces explained trade-offs; the EA approves a draft and a proposed learning rule</w:t>
            </w:r>
          </w:p>
        </w:tc>
      </w:tr>
      <w:tr>
        <w:tc>
          <w:tcPr>
            <w:tcW w:type="pct" w:w="13%"/>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4  ·  1–2 wks</w:t>
            </w:r>
          </w:p>
        </w:tc>
        <w:tc>
          <w:tcPr>
            <w:tcW w:type="pct" w:w="47%"/>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Scenario, security and failure-mode testing; prompt-injection tests; KPI dashboard; showcase</w:t>
            </w:r>
          </w:p>
        </w:tc>
        <w:tc>
          <w:tcPr>
            <w:tcW w:type="pct" w:w="4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Leadership walkthrough of the full storyline in §9</w:t>
            </w:r>
          </w:p>
        </w:tc>
      </w:tr>
    </w:tbl>
    <w:p>
      <w:pPr>
        <w:spacing w:after="60" w:before="40" w:line="264"/>
      </w:pPr>
      <w:r>
        <w:rPr>
          <w:rFonts w:ascii="Segoe UI" w:cs="Segoe UI" w:eastAsia="Segoe UI" w:hAnsi="Segoe UI"/>
          <w:color w:val="242424"/>
          <w:sz w:val="20"/>
          <w:szCs w:val="20"/>
        </w:rPr>
        <w:t xml:space="preserve"/>
      </w:r>
    </w:p>
    <w:p>
      <w:pPr>
        <w:spacing w:after="100" w:before="40" w:line="264"/>
      </w:pPr>
      <w:r>
        <w:rPr>
          <w:rFonts w:ascii="Segoe UI" w:cs="Segoe UI" w:eastAsia="Segoe UI" w:hAnsi="Segoe UI"/>
          <w:b/>
          <w:bCs/>
          <w:color w:val="242424"/>
          <w:sz w:val="20"/>
          <w:szCs w:val="20"/>
        </w:rPr>
        <w:t xml:space="preserve">Estimated duration: 8–12 weeks</w:t>
      </w:r>
      <w:r>
        <w:rPr>
          <w:rFonts w:ascii="Segoe UI" w:cs="Segoe UI" w:eastAsia="Segoe UI" w:hAnsi="Segoe UI"/>
          <w:color w:val="242424"/>
          <w:sz w:val="20"/>
          <w:szCs w:val="20"/>
        </w:rPr>
        <w:t xml:space="preserve">, dependent on tenant readiness, Graph consent, availability of representative data, and security review timing.</w:t>
      </w:r>
    </w:p>
    <w:p>
      <w:pPr>
        <w:pStyle w:val="Heading1"/>
        <w:spacing w:after="100" w:before="220"/>
      </w:pPr>
      <w:r>
        <w:rPr>
          <w:rFonts w:ascii="Segoe UI" w:cs="Segoe UI" w:eastAsia="Segoe UI" w:hAnsi="Segoe UI"/>
          <w:b/>
          <w:bCs/>
          <w:color w:val="1F3A5F"/>
          <w:sz w:val="30"/>
          <w:szCs w:val="30"/>
        </w:rPr>
        <w:t xml:space="preserve">12.  Open questions for this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
            <w:tcBorders>
              <w:top w:val="single" w:color="D6D6D2" w:sz="4"/>
              <w:left w:val="single" w:color="D6D6D2" w:sz="4"/>
              <w:bottom w:val="single" w:color="D6D6D2" w:sz="4"/>
              <w:right w:val="single" w:color="D6D6D2" w:sz="4"/>
            </w:tcBorders>
            <w:shd w:fill="B11F4B"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w:t>
            </w:r>
          </w:p>
        </w:tc>
        <w:tc>
          <w:tcPr>
            <w:tcW w:type="pct" w:w="75%"/>
            <w:tcBorders>
              <w:top w:val="single" w:color="D6D6D2" w:sz="4"/>
              <w:left w:val="single" w:color="D6D6D2" w:sz="4"/>
              <w:bottom w:val="single" w:color="D6D6D2" w:sz="4"/>
              <w:right w:val="single" w:color="D6D6D2" w:sz="4"/>
            </w:tcBorders>
            <w:shd w:fill="B11F4B"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Question</w:t>
            </w:r>
          </w:p>
        </w:tc>
        <w:tc>
          <w:tcPr>
            <w:tcW w:type="pct" w:w="20%"/>
            <w:tcBorders>
              <w:top w:val="single" w:color="D6D6D2" w:sz="4"/>
              <w:left w:val="single" w:color="D6D6D2" w:sz="4"/>
              <w:bottom w:val="single" w:color="D6D6D2" w:sz="4"/>
              <w:right w:val="single" w:color="D6D6D2" w:sz="4"/>
            </w:tcBorders>
            <w:shd w:fill="B11F4B" w:color="auto" w:val="clear"/>
            <w:tcMar>
              <w:top w:type="dxa" w:w="70"/>
              <w:left w:type="dxa" w:w="100"/>
              <w:bottom w:type="dxa" w:w="70"/>
              <w:right w:type="dxa" w:w="100"/>
            </w:tcMar>
            <w:vAlign w:val="top"/>
          </w:tcPr>
          <w:p>
            <w:pPr>
              <w:spacing w:after="0" w:before="0" w:line="244"/>
            </w:pPr>
            <w:r>
              <w:rPr>
                <w:rFonts w:ascii="Segoe UI" w:cs="Segoe UI" w:eastAsia="Segoe UI" w:hAnsi="Segoe UI"/>
                <w:b/>
                <w:bCs/>
                <w:color w:val="FFFFFF"/>
                <w:sz w:val="18"/>
                <w:szCs w:val="18"/>
              </w:rPr>
              <w:t xml:space="preserve">Owner</w:t>
            </w:r>
          </w:p>
        </w:tc>
      </w:tr>
      <w:tr>
        <w:tc>
          <w:tcPr>
            <w:tcW w:type="pct" w:w="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Q1</w:t>
            </w:r>
          </w:p>
        </w:tc>
        <w:tc>
          <w:tcPr>
            <w:tcW w:type="pct" w:w="7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Should preference scope be per executive, per executive-pair, or per meeting type? This determines how quickly the system can learn anything useful.</w:t>
            </w:r>
          </w:p>
        </w:tc>
        <w:tc>
          <w:tcPr>
            <w:tcW w:type="pct" w:w="2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Product / ML</w:t>
            </w:r>
          </w:p>
        </w:tc>
      </w:tr>
      <w:tr>
        <w:tc>
          <w:tcPr>
            <w:tcW w:type="pct" w:w="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Q2</w:t>
            </w:r>
          </w:p>
        </w:tc>
        <w:tc>
          <w:tcPr>
            <w:tcW w:type="pct" w:w="7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Is a three-correction threshold the right bar for proposing a candidate rule, and who is the authorised approver for each rule scope?</w:t>
            </w:r>
          </w:p>
        </w:tc>
        <w:tc>
          <w:tcPr>
            <w:tcW w:type="pct" w:w="2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EA / Policy owner</w:t>
            </w:r>
          </w:p>
        </w:tc>
      </w:tr>
      <w:tr>
        <w:tc>
          <w:tcPr>
            <w:tcW w:type="pct" w:w="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Q3</w:t>
            </w:r>
          </w:p>
        </w:tc>
        <w:tc>
          <w:tcPr>
            <w:tcW w:type="pct" w:w="7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Are the scoring weights in §4.1 governed configuration owned by the business, or engineering defaults for the prototype?</w:t>
            </w:r>
          </w:p>
        </w:tc>
        <w:tc>
          <w:tcPr>
            <w:tcW w:type="pct" w:w="2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Business / Architecture</w:t>
            </w:r>
          </w:p>
        </w:tc>
      </w:tr>
      <w:tr>
        <w:tc>
          <w:tcPr>
            <w:tcW w:type="pct" w:w="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Q4</w:t>
            </w:r>
          </w:p>
        </w:tc>
        <w:tc>
          <w:tcPr>
            <w:tcW w:type="pct" w:w="7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Which pilot tenant will host the prototype, and does it contain representative executive calendars or synthetic ones?</w:t>
            </w:r>
          </w:p>
        </w:tc>
        <w:tc>
          <w:tcPr>
            <w:tcW w:type="pct" w:w="2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Platform / Security</w:t>
            </w:r>
          </w:p>
        </w:tc>
      </w:tr>
      <w:tr>
        <w:tc>
          <w:tcPr>
            <w:tcW w:type="pct" w:w="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Q5</w:t>
            </w:r>
          </w:p>
        </w:tc>
        <w:tc>
          <w:tcPr>
            <w:tcW w:type="pct" w:w="75%"/>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Is "refuse and log" the correct response to a detected prompt-injection attempt, or should it escalate to the EA as a visible security event?</w:t>
            </w:r>
          </w:p>
        </w:tc>
        <w:tc>
          <w:tcPr>
            <w:tcW w:type="pct" w:w="20%"/>
            <w:tcBorders>
              <w:top w:val="single" w:color="D6D6D2" w:sz="4"/>
              <w:left w:val="single" w:color="D6D6D2" w:sz="4"/>
              <w:bottom w:val="single" w:color="D6D6D2" w:sz="4"/>
              <w:right w:val="single" w:color="D6D6D2" w:sz="4"/>
            </w:tcBorders>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Security</w:t>
            </w:r>
          </w:p>
        </w:tc>
      </w:tr>
      <w:tr>
        <w:tc>
          <w:tcPr>
            <w:tcW w:type="pct" w:w="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Q6</w:t>
            </w:r>
          </w:p>
        </w:tc>
        <w:tc>
          <w:tcPr>
            <w:tcW w:type="pct" w:w="75%"/>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What is the retention policy for the audit and feedback evidence stores, and who approves it before pilot data is used?</w:t>
            </w:r>
          </w:p>
        </w:tc>
        <w:tc>
          <w:tcPr>
            <w:tcW w:type="pct" w:w="20%"/>
            <w:tcBorders>
              <w:top w:val="single" w:color="D6D6D2" w:sz="4"/>
              <w:left w:val="single" w:color="D6D6D2" w:sz="4"/>
              <w:bottom w:val="single" w:color="D6D6D2" w:sz="4"/>
              <w:right w:val="single" w:color="D6D6D2" w:sz="4"/>
            </w:tcBorders>
            <w:shd w:fill="F7F7F5" w:color="auto" w:val="clear"/>
            <w:tcMar>
              <w:top w:type="dxa" w:w="70"/>
              <w:left w:type="dxa" w:w="100"/>
              <w:bottom w:type="dxa" w:w="70"/>
              <w:right w:type="dxa" w:w="100"/>
            </w:tcMar>
            <w:vAlign w:val="top"/>
          </w:tcPr>
          <w:p>
            <w:pPr>
              <w:spacing w:after="0" w:before="0" w:line="244"/>
            </w:pPr>
            <w:r>
              <w:rPr>
                <w:rFonts w:ascii="Segoe UI" w:cs="Segoe UI" w:eastAsia="Segoe UI" w:hAnsi="Segoe UI"/>
                <w:color w:val="242424"/>
                <w:sz w:val="18"/>
                <w:szCs w:val="18"/>
              </w:rPr>
              <w:t xml:space="preserve">Compliance</w:t>
            </w:r>
          </w:p>
        </w:tc>
      </w:tr>
    </w:tbl>
    <w:p>
      <w:pPr>
        <w:spacing w:after="80" w:before="40" w:line="264"/>
      </w:pPr>
      <w:r>
        <w:rPr>
          <w:rFonts w:ascii="Segoe UI" w:cs="Segoe UI" w:eastAsia="Segoe UI" w:hAnsi="Segoe UI"/>
          <w:color w:val="242424"/>
          <w:sz w:val="20"/>
          <w:szCs w:val="20"/>
        </w:rPr>
        <w:t xml:space="preserve"/>
      </w:r>
    </w:p>
    <w:p>
      <w:pPr>
        <w:spacing w:after="100" w:before="40" w:line="264"/>
      </w:pPr>
      <w:r>
        <w:rPr>
          <w:rFonts w:ascii="Segoe UI" w:cs="Segoe UI" w:eastAsia="Segoe UI" w:hAnsi="Segoe UI"/>
          <w:b/>
          <w:bCs/>
          <w:i/>
          <w:iCs/>
          <w:color w:val="242424"/>
          <w:sz w:val="19"/>
          <w:szCs w:val="19"/>
        </w:rPr>
        <w:t xml:space="preserve">Resolved. </w:t>
      </w:r>
      <w:r>
        <w:rPr>
          <w:rFonts w:ascii="Segoe UI" w:cs="Segoe UI" w:eastAsia="Segoe UI" w:hAnsi="Segoe UI"/>
          <w:i/>
          <w:iCs/>
          <w:color w:val="242424"/>
          <w:sz w:val="19"/>
          <w:szCs w:val="19"/>
        </w:rPr>
        <w:t xml:space="preserve">The terminal action for the MVP is a draft calendar event created after recorded EA approval, with sending left as a separate explicit EA step. Scenarios 1 and 2 and Figures 1–3 reflect this.</w:t>
      </w:r>
    </w:p>
    <w:p>
      <w:pPr>
        <w:sectPr>
          <w:headerReference w:type="default" r:id="rId22"/>
          <w:footerReference w:type="default" r:id="rId23"/>
          <w:pgSz w:w="12240" w:h="15840" w:orient="portrait"/>
          <w:pgMar w:top="1152" w:right="1224" w:bottom="1008" w:left="1224" w:header="504" w:footer="431" w:gutter="0"/>
          <w:pgNumType/>
          <w:docGrid w:linePitch="360"/>
        </w:sectPr>
      </w:pPr>
    </w:p>
    <w:p>
      <w:pPr>
        <w:pStyle w:val="Heading1"/>
        <w:spacing w:after="70" w:before="220"/>
      </w:pPr>
      <w:r>
        <w:rPr>
          <w:rFonts w:ascii="Segoe UI" w:cs="Segoe UI" w:eastAsia="Segoe UI" w:hAnsi="Segoe UI"/>
          <w:b/>
          <w:bCs/>
          <w:color w:val="1F3A5F"/>
          <w:sz w:val="30"/>
          <w:szCs w:val="30"/>
        </w:rPr>
        <w:t xml:space="preserve">Appendix A  —  Prototype integration path</w:t>
      </w:r>
    </w:p>
    <w:p>
      <w:pPr>
        <w:keepNext/>
        <w:spacing w:after="70" w:before="0"/>
        <w:jc w:val="center"/>
      </w:pPr>
      <w:r>
        <w:drawing>
          <wp:inline distT="0" distB="0" distL="0" distR="0">
            <wp:extent cx="695325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953250" cy="5391150"/>
                    </a:xfrm>
                    <a:prstGeom prst="rect">
                      <a:avLst/>
                    </a:prstGeom>
                  </pic:spPr>
                </pic:pic>
              </a:graphicData>
            </a:graphic>
          </wp:inline>
        </w:drawing>
      </w:r>
    </w:p>
    <w:p>
      <w:pPr>
        <w:spacing w:after="60" w:before="0"/>
        <w:jc w:val="center"/>
      </w:pPr>
      <w:r>
        <w:rPr>
          <w:rFonts w:ascii="Segoe UI" w:cs="Segoe UI" w:eastAsia="Segoe UI" w:hAnsi="Segoe UI"/>
          <w:i/>
          <w:iCs/>
          <w:color w:val="5A5A5A"/>
          <w:sz w:val="17"/>
          <w:szCs w:val="17"/>
        </w:rPr>
        <w:t xml:space="preserve">Figure 5 — How the prototype reaches Microsoft 365 today, and the target state. Left: agents 1–12 run locally alongside Scout, each spawning its own Work IQ MCP process. Centre: the Microsoft 365 data surface. Right: the Foundry deployment the design migrates to. The M365Port abstraction is what makes that migration a change of adapter rather than a rewrite.</w:t>
      </w:r>
    </w:p>
    <w:p>
      <w:pPr>
        <w:sectPr>
          <w:headerReference w:type="default" r:id="rId24"/>
          <w:footerReference w:type="default" r:id="rId25"/>
          <w:pgSz w:w="15840" w:h="12240" w:orient="landscape"/>
          <w:pgMar w:top="648" w:right="720" w:bottom="648" w:left="720" w:header="288" w:footer="288" w:gutter="0"/>
          <w:pgNumType/>
          <w:docGrid w:linePitch="360"/>
        </w:sectPr>
      </w:pPr>
    </w:p>
    <w:p>
      <w:pPr>
        <w:pStyle w:val="Heading1"/>
        <w:spacing w:after="100" w:before="220"/>
      </w:pPr>
      <w:r>
        <w:rPr>
          <w:rFonts w:ascii="Segoe UI" w:cs="Segoe UI" w:eastAsia="Segoe UI" w:hAnsi="Segoe UI"/>
          <w:b/>
          <w:bCs/>
          <w:color w:val="1F3A5F"/>
          <w:sz w:val="30"/>
          <w:szCs w:val="30"/>
        </w:rPr>
        <w:t xml:space="preserve">A.1  How local agents obtain Microsoft 365 access</w:t>
      </w:r>
    </w:p>
    <w:p>
      <w:pPr>
        <w:spacing w:after="100" w:before="40" w:line="264"/>
      </w:pPr>
      <w:r>
        <w:rPr>
          <w:rFonts w:ascii="Segoe UI" w:cs="Segoe UI" w:eastAsia="Segoe UI" w:hAnsi="Segoe UI"/>
          <w:color w:val="242424"/>
          <w:sz w:val="20"/>
          <w:szCs w:val="20"/>
        </w:rPr>
        <w:t xml:space="preserve">The prototype runs on a workstation before it runs in the cloud. The integration below was established by direct probing rather than assumption, because the obvious mental model turns out to be wrong in a way that affects the build.</w:t>
      </w:r>
    </w:p>
    <w:p>
      <w:pPr>
        <w:pStyle w:val="ListParagraph"/>
        <w:numPr>
          <w:ilvl w:val="0"/>
          <w:numId w:val="1"/>
        </w:numPr>
        <w:spacing w:after="40" w:before="20" w:line="258"/>
      </w:pPr>
      <w:r>
        <w:rPr>
          <w:rFonts w:ascii="Segoe UI" w:cs="Segoe UI" w:eastAsia="Segoe UI" w:hAnsi="Segoe UI"/>
          <w:b/>
          <w:bCs/>
          <w:color w:val="242424"/>
          <w:sz w:val="20"/>
          <w:szCs w:val="20"/>
        </w:rPr>
        <w:t xml:space="preserve">Scout is a peer, not a gateway. </w:t>
      </w:r>
      <w:r>
        <w:rPr>
          <w:rFonts w:ascii="Segoe UI" w:cs="Segoe UI" w:eastAsia="Segoe UI" w:hAnsi="Segoe UI"/>
          <w:color w:val="242424"/>
          <w:sz w:val="20"/>
          <w:szCs w:val="20"/>
        </w:rPr>
        <w:t xml:space="preserve">Microsoft Scout exposes no inbound listening ports — it is an MCP client, not a server, so local agents cannot "connect to" it. What Scout does is spawn the Work IQ CLI as a stdio child process, and the agent runtime does exactly the same thing independently. Concurrent instances coexist without contention.</w:t>
      </w:r>
    </w:p>
    <w:p>
      <w:pPr>
        <w:pStyle w:val="ListParagraph"/>
        <w:numPr>
          <w:ilvl w:val="0"/>
          <w:numId w:val="1"/>
        </w:numPr>
        <w:spacing w:after="40" w:before="20" w:line="258"/>
      </w:pPr>
      <w:r>
        <w:rPr>
          <w:rFonts w:ascii="Segoe UI" w:cs="Segoe UI" w:eastAsia="Segoe UI" w:hAnsi="Segoe UI"/>
          <w:b/>
          <w:bCs/>
          <w:color w:val="242424"/>
          <w:sz w:val="20"/>
          <w:szCs w:val="20"/>
        </w:rPr>
        <w:t xml:space="preserve">Scout’s role in the demo is the operator cockpit. </w:t>
      </w:r>
      <w:r>
        <w:rPr>
          <w:rFonts w:ascii="Segoe UI" w:cs="Segoe UI" w:eastAsia="Segoe UI" w:hAnsi="Segoe UI"/>
          <w:color w:val="242424"/>
          <w:sz w:val="20"/>
          <w:szCs w:val="20"/>
        </w:rPr>
        <w:t xml:space="preserve">It inspects the audit store, replays a decision, and drives the walkthrough. That is a genuine role — it is simply not the data path.</w:t>
      </w:r>
    </w:p>
    <w:p>
      <w:pPr>
        <w:pStyle w:val="ListParagraph"/>
        <w:numPr>
          <w:ilvl w:val="0"/>
          <w:numId w:val="1"/>
        </w:numPr>
        <w:spacing w:after="40" w:before="20" w:line="258"/>
      </w:pPr>
      <w:r>
        <w:rPr>
          <w:rFonts w:ascii="Segoe UI" w:cs="Segoe UI" w:eastAsia="Segoe UI" w:hAnsi="Segoe UI"/>
          <w:b/>
          <w:bCs/>
          <w:color w:val="242424"/>
          <w:sz w:val="20"/>
          <w:szCs w:val="20"/>
        </w:rPr>
        <w:t xml:space="preserve">The Work IQ CLI is a proxy over a remote service. </w:t>
      </w:r>
      <w:r>
        <w:rPr>
          <w:rFonts w:ascii="Segoe UI" w:cs="Segoe UI" w:eastAsia="Segoe UI" w:hAnsi="Segoe UI"/>
          <w:color w:val="242424"/>
          <w:sz w:val="20"/>
          <w:szCs w:val="20"/>
        </w:rPr>
        <w:t xml:space="preserve">It presents fourteen tools, ten proxied from an OAuth-protected MCP endpoint. Beyond the semantic "ask" interface it exposes a structured entity surface over Microsoft Graph — including getSchedule, findMeetingTimes, events with delta, calendarView, mailboxSettings and meeting transcripts.</w:t>
      </w:r>
    </w:p>
    <w:p>
      <w:pPr>
        <w:pStyle w:val="ListParagraph"/>
        <w:numPr>
          <w:ilvl w:val="0"/>
          <w:numId w:val="1"/>
        </w:numPr>
        <w:spacing w:after="40" w:before="20" w:line="258"/>
      </w:pPr>
      <w:r>
        <w:rPr>
          <w:rFonts w:ascii="Segoe UI" w:cs="Segoe UI" w:eastAsia="Segoe UI" w:hAnsi="Segoe UI"/>
          <w:b/>
          <w:bCs/>
          <w:color w:val="242424"/>
          <w:sz w:val="20"/>
          <w:szCs w:val="20"/>
        </w:rPr>
        <w:t xml:space="preserve">Two findings shape the target state. </w:t>
      </w:r>
      <w:r>
        <w:rPr>
          <w:rFonts w:ascii="Segoe UI" w:cs="Segoe UI" w:eastAsia="Segoe UI" w:hAnsi="Segoe UI"/>
          <w:color w:val="242424"/>
          <w:sz w:val="20"/>
          <w:szCs w:val="20"/>
        </w:rPr>
        <w:t xml:space="preserve">A token request from a general-purpose client returns AADSTS65002 — Work IQ is a first-party API that only preauthorised clients may request, so the supported cloud route is the Foundry Toolbox where Work IQ is a GA tool with managed credential injection. And access is delegated-only: every path acts as the signed-in user, so a Foundry project sees only its own tenant’s Microsoft 365.</w:t>
      </w:r>
    </w:p>
    <w:p>
      <w:pPr>
        <w:pStyle w:val="ListParagraph"/>
        <w:numPr>
          <w:ilvl w:val="0"/>
          <w:numId w:val="1"/>
        </w:numPr>
        <w:spacing w:after="40" w:before="20" w:line="258"/>
      </w:pPr>
      <w:r>
        <w:rPr>
          <w:rFonts w:ascii="Segoe UI" w:cs="Segoe UI" w:eastAsia="Segoe UI" w:hAnsi="Segoe UI"/>
          <w:b/>
          <w:bCs/>
          <w:color w:val="242424"/>
          <w:sz w:val="20"/>
          <w:szCs w:val="20"/>
        </w:rPr>
        <w:t xml:space="preserve">Everything routes through one narrow port. </w:t>
      </w:r>
      <w:r>
        <w:rPr>
          <w:rFonts w:ascii="Segoe UI" w:cs="Segoe UI" w:eastAsia="Segoe UI" w:hAnsi="Segoe UI"/>
          <w:color w:val="242424"/>
          <w:sz w:val="20"/>
          <w:szCs w:val="20"/>
        </w:rPr>
        <w:t xml:space="preserve">Agents 1–12 call four operations — getSchedule, findMeetingTimes, createDraftEvent and deltaEvents. The prototype binds them to a Work IQ adapter; production binds them to a Graph adapter with an app registration and admin consent. The agents are unaware of the difference.</w:t>
      </w:r>
    </w:p>
    <w:p>
      <w:pPr>
        <w:spacing w:after="60" w:before="40" w:line="264"/>
      </w:pPr>
      <w:r>
        <w:rPr>
          <w:rFonts w:ascii="Segoe UI" w:cs="Segoe UI" w:eastAsia="Segoe UI" w:hAnsi="Segoe UI"/>
          <w:color w:val="242424"/>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11F4B" w:sz="4"/>
              <w:left w:val="single" w:color="B11F4B" w:sz="18"/>
              <w:bottom w:val="single" w:color="B11F4B" w:sz="4"/>
              <w:right w:val="single" w:color="B11F4B" w:sz="4"/>
            </w:tcBorders>
            <w:shd w:fill="FBF7F8" w:color="auto" w:val="clear"/>
            <w:tcMar>
              <w:top w:type="dxa" w:w="120"/>
              <w:left w:type="dxa" w:w="150"/>
              <w:bottom w:type="dxa" w:w="120"/>
              <w:right w:type="dxa" w:w="150"/>
            </w:tcMar>
          </w:tcPr>
          <w:p>
            <w:pPr>
              <w:spacing w:after="50"/>
            </w:pPr>
            <w:r>
              <w:rPr>
                <w:rFonts w:ascii="Segoe UI" w:cs="Segoe UI" w:eastAsia="Segoe UI" w:hAnsi="Segoe UI"/>
                <w:b/>
                <w:bCs/>
                <w:color w:val="B11F4B"/>
                <w:sz w:val="20"/>
                <w:szCs w:val="20"/>
              </w:rPr>
              <w:t xml:space="preserve">Why this matters for Q4</w:t>
            </w:r>
          </w:p>
          <w:p>
            <w:pPr>
              <w:spacing w:after="30" w:line="258"/>
            </w:pPr>
            <w:r>
              <w:rPr>
                <w:rFonts w:ascii="Segoe UI" w:cs="Segoe UI" w:eastAsia="Segoe UI" w:hAnsi="Segoe UI"/>
                <w:sz w:val="19"/>
                <w:szCs w:val="19"/>
              </w:rPr>
              <w:t xml:space="preserve">Because Work IQ access is delegated and tenant-bound, the choice of pilot tenant decides what the prototype can actually see. A tenant without representative executive calendars will need seeded or synthetic profiles, and that decision should be made before Phase 2 rather than discovered during it.</w:t>
            </w:r>
          </w:p>
        </w:tc>
      </w:tr>
    </w:tbl>
    <w:sectPr>
      <w:headerReference w:type="default" r:id="rId26"/>
      <w:footerReference w:type="default" r:id="rId27"/>
      <w:pgSz w:w="12240" w:h="15840" w:orient="portrait"/>
      <w:pgMar w:top="1152" w:right="1224" w:bottom="1008" w:left="1224" w:header="504"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A8A8A"/>
        <w:sz w:val="15"/>
        <w:szCs w:val="15"/>
      </w:rPr>
      <w:t xml:space="preserve">Executive Time Management Copilot — Architecture &amp; MVP Scope   ·   DRAFT FOR REVIEW   ·   Page </w:t>
    </w:r>
    <w:r>
      <w:rPr>
        <w:rFonts w:ascii="Segoe UI" w:cs="Segoe UI" w:eastAsia="Segoe UI" w:hAnsi="Segoe UI"/>
        <w:color w:val="8A8A8A"/>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A8A8A"/>
        <w:sz w:val="15"/>
        <w:szCs w:val="15"/>
      </w:rPr>
      <w:t xml:space="preserve">Executive Time Management Copilot — Architecture &amp; MVP Scope   ·   DRAFT FOR REVIEW   ·   Page </w:t>
    </w:r>
    <w:r>
      <w:rPr>
        <w:rFonts w:ascii="Segoe UI" w:cs="Segoe UI" w:eastAsia="Segoe UI" w:hAnsi="Segoe UI"/>
        <w:color w:val="8A8A8A"/>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A8A8A"/>
        <w:sz w:val="15"/>
        <w:szCs w:val="15"/>
      </w:rPr>
      <w:t xml:space="preserve">Executive Time Management Copilot — Architecture &amp; MVP Scope   ·   DRAFT FOR REVIEW   ·   Page </w:t>
    </w:r>
    <w:r>
      <w:rPr>
        <w:rFonts w:ascii="Segoe UI" w:cs="Segoe UI" w:eastAsia="Segoe UI" w:hAnsi="Segoe UI"/>
        <w:color w:val="8A8A8A"/>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A8A8A"/>
        <w:sz w:val="15"/>
        <w:szCs w:val="15"/>
      </w:rPr>
      <w:t xml:space="preserve">Executive Time Management Copilot — Architecture &amp; MVP Scope   ·   DRAFT FOR REVIEW   ·   Page </w:t>
    </w:r>
    <w:r>
      <w:rPr>
        <w:rFonts w:ascii="Segoe UI" w:cs="Segoe UI" w:eastAsia="Segoe UI" w:hAnsi="Segoe UI"/>
        <w:color w:val="8A8A8A"/>
        <w:sz w:val="15"/>
        <w:szCs w:val="1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A8A8A"/>
        <w:sz w:val="15"/>
        <w:szCs w:val="15"/>
      </w:rPr>
      <w:t xml:space="preserve">Executive Time Management Copilot — Architecture &amp; MVP Scope   ·   DRAFT FOR REVIEW   ·   Page </w:t>
    </w:r>
    <w:r>
      <w:rPr>
        <w:rFonts w:ascii="Segoe UI" w:cs="Segoe UI" w:eastAsia="Segoe UI" w:hAnsi="Segoe UI"/>
        <w:color w:val="8A8A8A"/>
        <w:sz w:val="15"/>
        <w:szCs w:val="15"/>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A8A8A"/>
        <w:sz w:val="15"/>
        <w:szCs w:val="15"/>
      </w:rPr>
      <w:t xml:space="preserve">Executive Time Management Copilot — Architecture &amp; MVP Scope   ·   DRAFT FOR REVIEW   ·   Page </w:t>
    </w:r>
    <w:r>
      <w:rPr>
        <w:rFonts w:ascii="Segoe UI" w:cs="Segoe UI" w:eastAsia="Segoe UI" w:hAnsi="Segoe UI"/>
        <w:color w:val="8A8A8A"/>
        <w:sz w:val="15"/>
        <w:szCs w:val="15"/>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A8A8A"/>
        <w:sz w:val="15"/>
        <w:szCs w:val="15"/>
      </w:rPr>
      <w:t xml:space="preserve">Executive Time Management Copilot — Architecture &amp; MVP Scope   ·   DRAFT FOR REVIEW   ·   Page </w:t>
    </w:r>
    <w:r>
      <w:rPr>
        <w:rFonts w:ascii="Segoe UI" w:cs="Segoe UI" w:eastAsia="Segoe UI" w:hAnsi="Segoe UI"/>
        <w:color w:val="8A8A8A"/>
        <w:sz w:val="15"/>
        <w:szCs w:val="15"/>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A8A8A"/>
        <w:sz w:val="15"/>
        <w:szCs w:val="15"/>
      </w:rPr>
      <w:t xml:space="preserve">Executive Time Management Copilot — Architecture &amp; MVP Scope   ·   DRAFT FOR REVIEW   ·   Page </w:t>
    </w:r>
    <w:r>
      <w:rPr>
        <w:rFonts w:ascii="Segoe UI" w:cs="Segoe UI" w:eastAsia="Segoe UI" w:hAnsi="Segoe UI"/>
        <w:color w:val="8A8A8A"/>
        <w:sz w:val="15"/>
        <w:szCs w:val="15"/>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A8A8A"/>
        <w:sz w:val="15"/>
        <w:szCs w:val="15"/>
      </w:rPr>
      <w:t xml:space="preserve">Executive Time Management Copilot — Architecture &amp; MVP Scope   ·   DRAFT FOR REVIEW   ·   Page </w:t>
    </w:r>
    <w:r>
      <w:rPr>
        <w:rFonts w:ascii="Segoe UI" w:cs="Segoe UI" w:eastAsia="Segoe UI" w:hAnsi="Segoe UI"/>
        <w:color w:val="8A8A8A"/>
        <w:sz w:val="15"/>
        <w:szCs w:val="15"/>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A8A8A"/>
        <w:sz w:val="15"/>
        <w:szCs w:val="15"/>
      </w:rPr>
      <w:t xml:space="preserve">Executive Time Management Copilot — Architecture &amp; MVP Scope   ·   DRAFT FOR REVIEW   ·   Page </w:t>
    </w:r>
    <w:r>
      <w:rPr>
        <w:rFonts w:ascii="Segoe UI" w:cs="Segoe UI" w:eastAsia="Segoe UI" w:hAnsi="Segoe UI"/>
        <w:color w:val="8A8A8A"/>
        <w:sz w:val="15"/>
        <w:szCs w:val="15"/>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A8A8A"/>
        <w:sz w:val="15"/>
        <w:szCs w:val="15"/>
      </w:rPr>
      <w:t xml:space="preserve">Executive Time Management Copilot — Architecture &amp; MVP Scope   ·   DRAFT FOR REVIEW   ·   Page </w:t>
    </w:r>
    <w:r>
      <w:rPr>
        <w:rFonts w:ascii="Segoe UI" w:cs="Segoe UI" w:eastAsia="Segoe UI" w:hAnsi="Segoe UI"/>
        <w:color w:val="8A8A8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A8A8A8"/>
        <w:sz w:val="14"/>
        <w:szCs w:val="14"/>
      </w:rPr>
      <w:t xml:space="preserve">DRAFT FOR REVIEW  ·  v0.1  ·  3 September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A8A8A8"/>
        <w:sz w:val="14"/>
        <w:szCs w:val="14"/>
      </w:rPr>
      <w:t xml:space="preserve">DRAFT FOR REVIEW  ·  v0.1  ·  3 September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A8A8A8"/>
        <w:sz w:val="14"/>
        <w:szCs w:val="14"/>
      </w:rPr>
      <w:t xml:space="preserve">DRAFT FOR REVIEW  ·  v0.1  ·  3 September 2026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A8A8A8"/>
        <w:sz w:val="14"/>
        <w:szCs w:val="14"/>
      </w:rPr>
      <w:t xml:space="preserve">DRAFT FOR REVIEW  ·  v0.1  ·  3 September 2026</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A8A8A8"/>
        <w:sz w:val="14"/>
        <w:szCs w:val="14"/>
      </w:rPr>
      <w:t xml:space="preserve">DRAFT FOR REVIEW  ·  v0.1  ·  3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42424"/>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image" Target="media/aa293170f9ff735f4c5d4185c9207330f51b787a.png"/><Relationship Id="rId29" Type="http://schemas.openxmlformats.org/officeDocument/2006/relationships/image" Target="media/e6e15a9bcc0dce5f28c5bd6b8b766f017145554a.png"/><Relationship Id="rId30" Type="http://schemas.openxmlformats.org/officeDocument/2006/relationships/image" Target="media/1649a89beabbe8c48a139422576bfc89a451ebf1.png"/><Relationship Id="rId31" Type="http://schemas.openxmlformats.org/officeDocument/2006/relationships/image" Target="media/162c9ab12a3d1a9da87a40f2ede64b545defbdc5.png"/><Relationship Id="rId32" Type="http://schemas.openxmlformats.org/officeDocument/2006/relationships/image" Target="media/987dbe4c1ddbcea0755e7371b441315260ea2d3e.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Time Management Copilot — Architecture, Design and MVP Scope</dc:title>
  <dc:creator>Rajesh Singh</dc:creator>
  <dc:description>Draft architecture, high-level design and MVP scope circulated for technical review.</dc:description>
  <cp:lastModifiedBy>Un-named</cp:lastModifiedBy>
  <cp:revision>1</cp:revision>
  <dcterms:created xsi:type="dcterms:W3CDTF">2026-09-03T21:51:05.724Z</dcterms:created>
  <dcterms:modified xsi:type="dcterms:W3CDTF">2026-09-03T21:51:05.725Z</dcterms:modified>
</cp:coreProperties>
</file>

<file path=docProps/custom.xml><?xml version="1.0" encoding="utf-8"?>
<Properties xmlns="http://schemas.openxmlformats.org/officeDocument/2006/custom-properties" xmlns:vt="http://schemas.openxmlformats.org/officeDocument/2006/docPropsVTypes"/>
</file>