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52"/>
          <w:szCs w:val="52"/>
        </w:rPr>
        <w:t xml:space="preserve">Field System Inbound Data Distribution</w:t>
      </w:r>
    </w:p>
    <w:p>
      <w:pPr>
        <w:spacing w:after="500"/>
      </w:pPr>
      <w:r>
        <w:rPr>
          <w:rFonts w:ascii="Arial" w:cs="Arial" w:eastAsia="Arial" w:hAnsi="Arial"/>
          <w:color w:val="595959"/>
          <w:sz w:val="28"/>
          <w:szCs w:val="28"/>
        </w:rPr>
        <w:t xml:space="preserve">Technical Design Document — Option D: CPI-Orchestrated Business Data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Field</w:t>
            </w:r>
          </w:p>
        </w:tc>
        <w:tc>
          <w:tcPr>
            <w:tcW w:type="dxa" w:w="70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Value</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Programme</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Apollo — S/4HANA implementation, Service Stream</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Author</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Rajesh Sha, SAP Integration and Data Architect</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Date</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7 August 2026</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Status</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Draft for Design Council review and delivery-partner estimation</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Decision context</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Extends decided Option B (field systems consume APIs, not databases). This document designs Option D: CPI detects each S/4 change once and delivers it to every subscribed field system.</w:t>
            </w:r>
          </w:p>
        </w:tc>
      </w:tr>
      <w:tr>
        <w:tc>
          <w:tcPr>
            <w:tcW w:type="dxa" w:w="24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Companion documents</w:t>
            </w:r>
          </w:p>
        </w:tc>
        <w:tc>
          <w:tcPr>
            <w:tcW w:type="dxa" w:w="7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Build specification (numbered requirements and tests) · research paper · target architecture · ARB deck</w:t>
            </w:r>
          </w:p>
        </w:tc>
      </w:tr>
    </w:tbl>
    <w:p>
      <w:r>
        <w:br w:type="page"/>
      </w:r>
    </w:p>
    <w:p>
      <w:pPr>
        <w:pStyle w:val="Heading1"/>
        <w:spacing w:after="140" w:before="320"/>
      </w:pPr>
      <w:r>
        <w:rPr>
          <w:rFonts w:ascii="Arial" w:cs="Arial" w:eastAsia="Arial" w:hAnsi="Arial"/>
          <w:b/>
          <w:bCs/>
          <w:color w:val="1F3864"/>
          <w:sz w:val="30"/>
          <w:szCs w:val="30"/>
        </w:rPr>
        <w:t xml:space="preserve">1  Purpose and scope</w:t>
      </w:r>
    </w:p>
    <w:p>
      <w:pPr>
        <w:spacing w:after="120"/>
      </w:pPr>
      <w:r>
        <w:rPr>
          <w:rFonts w:ascii="Arial" w:cs="Arial" w:eastAsia="Arial" w:hAnsi="Arial"/>
          <w:b w:val="false"/>
          <w:bCs w:val="false"/>
          <w:i w:val="false"/>
          <w:iCs w:val="false"/>
          <w:color w:val="111111"/>
          <w:sz w:val="21"/>
          <w:szCs w:val="21"/>
        </w:rPr>
        <w:t xml:space="preserve">This document is the complete technical design for returning S/4HANA business data to the field systems after processing. It covers the working configuration already in place in our own tenants, the naming conventions for everything that will be created, the design of every component, the event intake in full detail, and the delivery interface for each receiving system. It is written to be built from: where a value is stated, it is the value to use; where something is still open, it is listed in section 15 with an owner.</w:t>
      </w:r>
    </w:p>
    <w:p>
      <w:pPr>
        <w:spacing w:after="120"/>
      </w:pPr>
      <w:r>
        <w:rPr>
          <w:rFonts w:ascii="Arial" w:cs="Arial" w:eastAsia="Arial" w:hAnsi="Arial"/>
          <w:b w:val="false"/>
          <w:bCs w:val="false"/>
          <w:i w:val="false"/>
          <w:iCs w:val="false"/>
          <w:color w:val="111111"/>
          <w:sz w:val="21"/>
          <w:szCs w:val="21"/>
        </w:rPr>
        <w:t xml:space="preserve">In scope: the distribution of business data from S/4HANA to JAMS, ServiceNow (ITSM and Defence), Sitetracker, and any later field system. Out of scope: the field-system-to-S/4 direction (the existing canonical flow, unchanged) and the acknowledgement callback (Response Type 1, unchanged).</w:t>
      </w:r>
    </w:p>
    <w:p>
      <w:pPr>
        <w:pStyle w:val="Heading1"/>
        <w:spacing w:after="140" w:before="320"/>
      </w:pPr>
      <w:r>
        <w:rPr>
          <w:rFonts w:ascii="Arial" w:cs="Arial" w:eastAsia="Arial" w:hAnsi="Arial"/>
          <w:b/>
          <w:bCs/>
          <w:color w:val="1F3864"/>
          <w:sz w:val="30"/>
          <w:szCs w:val="30"/>
        </w:rPr>
        <w:t xml:space="preserve">2  Terms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c>
          <w:tcPr>
            <w:tcW w:type="dxa" w:w="27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Term</w:t>
            </w:r>
          </w:p>
        </w:tc>
        <w:tc>
          <w:tcPr>
            <w:tcW w:type="dxa" w:w="67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Meaning</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Field system</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system used by field operations — JAMS, ServiceNow, Sitetracker, and others</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SAP Integration Suite (Cloud Integration) — the middleware. All development in this design happens here</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Standard message</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one common message format used for every field system (the programme's existing canonical model)</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Data set</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One kind of business data. Eight are in scope — see section 7</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Change notice</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small event S/4HANA sends the moment a record changes. It carries the record's identifier, not the data</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Timed check</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CPI job that runs on a schedule and asks S/4HANA which records changed since the last run</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Intake queue</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queue on the event broker holding change notices for CPI to consume. Separate from delivery queues</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Delivery queue</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CPI-internal queue holding wrapped messages awaiting delivery to one field system</w:t>
            </w:r>
          </w:p>
        </w:tc>
      </w:tr>
      <w:tr>
        <w:tc>
          <w:tcPr>
            <w:tcW w:type="dxa" w:w="2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Create-or-update</w:t>
            </w:r>
          </w:p>
        </w:tc>
        <w:tc>
          <w:tcPr>
            <w:tcW w:type="dxa" w:w="6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 the record if it does not exist, update it if it does. Receiving the same message twice causes no harm</w:t>
            </w:r>
          </w:p>
        </w:tc>
      </w:tr>
    </w:tbl>
    <w:p>
      <w:pPr>
        <w:pStyle w:val="Heading1"/>
        <w:spacing w:after="140" w:before="320"/>
      </w:pPr>
      <w:r>
        <w:rPr>
          <w:rFonts w:ascii="Arial" w:cs="Arial" w:eastAsia="Arial" w:hAnsi="Arial"/>
          <w:b/>
          <w:bCs/>
          <w:color w:val="1F3864"/>
          <w:sz w:val="30"/>
          <w:szCs w:val="30"/>
        </w:rPr>
        <w:t xml:space="preserve">3  Architecture overview</w:t>
      </w:r>
    </w:p>
    <w:p>
      <w:pPr>
        <w:spacing w:after="120"/>
      </w:pPr>
      <w:r>
        <w:rPr>
          <w:rFonts w:ascii="Arial" w:cs="Arial" w:eastAsia="Arial" w:hAnsi="Arial"/>
          <w:b w:val="false"/>
          <w:bCs w:val="false"/>
          <w:i w:val="false"/>
          <w:iCs w:val="false"/>
          <w:color w:val="111111"/>
          <w:sz w:val="21"/>
          <w:szCs w:val="21"/>
        </w:rPr>
        <w:t xml:space="preserve">Every delivery, for every data set and every field system, follows the same seven steps. Only step 6's delivery method differs per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700"/>
      </w:tblGrid>
      <w:tr>
        <w:tc>
          <w:tcPr>
            <w:tcW w:type="dxa" w:w="7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w:t>
            </w:r>
          </w:p>
        </w:tc>
        <w:tc>
          <w:tcPr>
            <w:tcW w:type="dxa" w:w="30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Step</w:t>
            </w:r>
          </w:p>
        </w:tc>
        <w:tc>
          <w:tcPr>
            <w:tcW w:type="dxa" w:w="57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Detail</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1</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record changes in S/4HANA</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Any source: a field system's own message, a user in S/4, another integration. No difference in what follows.</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2</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 finds out</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S/4 sends a change notice through its event channel, or the timed check asks the S/4 API for records changed since the last run. Chosen per data set; both feed step 3 identically.</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3</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 reads the full record</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read on the released S/4 API — the same APIs proven for the pull design. What goes out is always the current state.</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4</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 wraps it in the standard message</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Adding the tracking fields in section 9, including the correlation identifier the sending system already holds.</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5</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 checks the subscription list</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Which systems want this data set, for this contract. A system can never receive data outside its own contracts — Defence separation is enforced here, centrally.</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6</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 delivers it</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 web service call or a file, per system. Failures retry automatically; one system being down never delays another.</w:t>
            </w:r>
          </w:p>
        </w:tc>
      </w:tr>
      <w:tr>
        <w:tc>
          <w:tcPr>
            <w:tcW w:type="dxa" w:w="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7</w:t>
            </w:r>
          </w:p>
        </w:tc>
        <w:tc>
          <w:tcPr>
            <w:tcW w:type="dxa" w:w="3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receiving system saves it</w:t>
            </w:r>
          </w:p>
        </w:tc>
        <w:tc>
          <w:tcPr>
            <w:tcW w:type="dxa" w:w="57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Create-or-update matched on the S/4 document number; the newer change always wins.</w:t>
            </w:r>
          </w:p>
        </w:tc>
      </w:tr>
    </w:tbl>
    <w:p>
      <w:pPr>
        <w:spacing w:after="16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bCs/>
          <w:i w:val="false"/>
          <w:iCs w:val="false"/>
          <w:color w:val="111111"/>
          <w:sz w:val="21"/>
          <w:szCs w:val="21"/>
        </w:rPr>
        <w:t xml:space="preserve">Two rules hold everywhere: </w:t>
      </w:r>
      <w:r>
        <w:rPr>
          <w:rFonts w:ascii="Arial" w:cs="Arial" w:eastAsia="Arial" w:hAnsi="Arial"/>
          <w:b w:val="false"/>
          <w:bCs w:val="false"/>
          <w:i w:val="false"/>
          <w:iCs w:val="false"/>
          <w:color w:val="111111"/>
          <w:sz w:val="21"/>
          <w:szCs w:val="21"/>
        </w:rPr>
        <w:t xml:space="preserve">CPI holds no business data at any time (configuration, last-run times and in-transit messages only), and no component reads or writes any other system's database — all movement is through the interfaces in this document.</w:t>
      </w:r>
    </w:p>
    <w:p>
      <w:pPr>
        <w:pStyle w:val="Heading1"/>
        <w:spacing w:after="140" w:before="320"/>
      </w:pPr>
      <w:r>
        <w:rPr>
          <w:rFonts w:ascii="Arial" w:cs="Arial" w:eastAsia="Arial" w:hAnsi="Arial"/>
          <w:b/>
          <w:bCs/>
          <w:color w:val="1F3864"/>
          <w:sz w:val="30"/>
          <w:szCs w:val="30"/>
        </w:rPr>
        <w:t xml:space="preserve">4  What already exists — verified in our own tenants</w:t>
      </w:r>
    </w:p>
    <w:p>
      <w:pPr>
        <w:spacing w:after="120"/>
      </w:pPr>
      <w:r>
        <w:rPr>
          <w:rFonts w:ascii="Arial" w:cs="Arial" w:eastAsia="Arial" w:hAnsi="Arial"/>
          <w:b w:val="false"/>
          <w:bCs w:val="false"/>
          <w:i w:val="false"/>
          <w:iCs w:val="false"/>
          <w:color w:val="111111"/>
          <w:sz w:val="21"/>
          <w:szCs w:val="21"/>
        </w:rPr>
        <w:t xml:space="preserve">Everything in this section has been checked directly in our BTP global account, the non-prod Integration Suite, and the S/4HANA development tenant. It is the starting point for the build, not a proposal.</w:t>
      </w:r>
    </w:p>
    <w:p>
      <w:pPr>
        <w:pStyle w:val="Heading2"/>
        <w:spacing w:after="120" w:before="240"/>
      </w:pPr>
      <w:r>
        <w:rPr>
          <w:rFonts w:ascii="Arial" w:cs="Arial" w:eastAsia="Arial" w:hAnsi="Arial"/>
          <w:b/>
          <w:bCs/>
          <w:color w:val="1F3864"/>
          <w:sz w:val="24"/>
          <w:szCs w:val="24"/>
        </w:rPr>
        <w:t xml:space="preserve">4.1  Entitlements (BTP global account)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4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Service and plan</w:t>
            </w:r>
          </w:p>
        </w:tc>
        <w:tc>
          <w:tcPr>
            <w:tcW w:type="dxa" w:w="5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State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SAP Integration Suite, Event Mesh — plan message-client</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Assigned to one subaccount, quota assigned, global quota unlimited</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SAP S/4HANA Cloud Extensibility — plans api-access and messaging</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Listed with commercial type: none (included with the S/4 subscription); resource provider registered for our tenant; assignment to further subaccounts is an administrator step, not a purchase</w:t>
            </w:r>
          </w:p>
        </w:tc>
      </w:tr>
    </w:tbl>
    <w:p>
      <w:pPr>
        <w:pStyle w:val="Heading2"/>
        <w:spacing w:after="120" w:before="240"/>
      </w:pPr>
      <w:r>
        <w:rPr>
          <w:rFonts w:ascii="Arial" w:cs="Arial" w:eastAsia="Arial" w:hAnsi="Arial"/>
          <w:b/>
          <w:bCs/>
          <w:color w:val="1F3864"/>
          <w:sz w:val="24"/>
          <w:szCs w:val="24"/>
        </w:rPr>
        <w:t xml:space="preserve">4.2  Event broker (non-prod Integration Suite)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4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Item</w:t>
            </w:r>
          </w:p>
        </w:tc>
        <w:tc>
          <w:tcPr>
            <w:tcW w:type="dxa" w:w="5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Verified value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Capability</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“Manage Business Events” active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Broker status</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Ready</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Buffer for undelivered messages</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2.00 GB</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Maximum message size</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1 MB</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Connections / producers / consumers</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200 / 600 / 600</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client</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emis-s4hdev-client</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Namespace</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ssm/s4h/dev</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Existing queues</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ssm/s4h/dev/s4h-dev-ses-events (non-exclusive) and a manual test queue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Proof-of-concept CPI flow</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EventMesh_POC in the Proof Of Concepts package — the consumer pattern already exercised</w:t>
            </w:r>
          </w:p>
        </w:tc>
      </w:tr>
    </w:tbl>
    <w:p>
      <w:pPr>
        <w:pStyle w:val="Heading2"/>
        <w:spacing w:after="120" w:before="240"/>
      </w:pPr>
      <w:r>
        <w:rPr>
          <w:rFonts w:ascii="Arial" w:cs="Arial" w:eastAsia="Arial" w:hAnsi="Arial"/>
          <w:b/>
          <w:bCs/>
          <w:color w:val="1F3864"/>
          <w:sz w:val="24"/>
          <w:szCs w:val="24"/>
        </w:rPr>
        <w:t xml:space="preserve">4.3  S/4HANA event channel (development tenant, client FLA/100)</w:t>
      </w:r>
    </w:p>
    <w:p>
      <w:pPr>
        <w:spacing w:after="120"/>
      </w:pPr>
      <w:r>
        <w:rPr>
          <w:rFonts w:ascii="Arial" w:cs="Arial" w:eastAsia="Arial" w:hAnsi="Arial"/>
          <w:b w:val="false"/>
          <w:bCs w:val="false"/>
          <w:i w:val="false"/>
          <w:iCs w:val="false"/>
          <w:color w:val="111111"/>
          <w:sz w:val="21"/>
          <w:szCs w:val="21"/>
        </w:rPr>
        <w:t xml:space="preserve">Channel </w:t>
      </w:r>
      <w:r>
        <w:rPr>
          <w:rFonts w:ascii="Consolas" w:cs="Consolas" w:eastAsia="Consolas" w:hAnsi="Consolas"/>
          <w:color w:val="111111"/>
          <w:sz w:val="18"/>
          <w:szCs w:val="18"/>
        </w:rPr>
        <w:t xml:space="preserve">EMIS_COM_0092</w:t>
      </w:r>
      <w:r>
        <w:rPr>
          <w:rFonts w:ascii="Arial" w:cs="Arial" w:eastAsia="Arial" w:hAnsi="Arial"/>
          <w:b w:val="false"/>
          <w:bCs w:val="false"/>
          <w:i w:val="false"/>
          <w:iCs w:val="false"/>
          <w:color w:val="111111"/>
          <w:sz w:val="21"/>
          <w:szCs w:val="21"/>
        </w:rPr>
        <w:t xml:space="preserve"> for Enterprise Event Enablement is active, created from communication scenario </w:t>
      </w:r>
      <w:r>
        <w:rPr>
          <w:rFonts w:ascii="Consolas" w:cs="Consolas" w:eastAsia="Consolas" w:hAnsi="Consolas"/>
          <w:color w:val="111111"/>
          <w:sz w:val="18"/>
          <w:szCs w:val="18"/>
        </w:rPr>
        <w:t xml:space="preserve">SAP_COM_0092</w:t>
      </w:r>
      <w:r>
        <w:rPr>
          <w:rFonts w:ascii="Arial" w:cs="Arial" w:eastAsia="Arial" w:hAnsi="Arial"/>
          <w:b w:val="false"/>
          <w:bCs w:val="false"/>
          <w:i w:val="false"/>
          <w:iCs w:val="false"/>
          <w:color w:val="111111"/>
          <w:sz w:val="21"/>
          <w:szCs w:val="21"/>
        </w:rPr>
        <w:t xml:space="preserve">. Its Event Monitor shows three outbound topics live, all with status Acknowledged — meaning the broker received the events successfully: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600"/>
        <w:gridCol w:w="1200"/>
        <w:gridCol w:w="1600"/>
      </w:tblGrid>
      <w:tr>
        <w:tc>
          <w:tcPr>
            <w:tcW w:type="dxa" w:w="66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Live topic</w:t>
            </w:r>
          </w:p>
        </w:tc>
        <w:tc>
          <w:tcPr>
            <w:tcW w:type="dxa" w:w="1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Events</w:t>
            </w:r>
          </w:p>
        </w:tc>
        <w:tc>
          <w:tcPr>
            <w:tcW w:type="dxa" w:w="16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Status</w:t>
            </w:r>
          </w:p>
        </w:tc>
      </w:tr>
      <w:tr>
        <w:tc>
          <w:tcPr>
            <w:tcW w:type="dxa" w:w="6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ssm/s4h/dev/ce/sap/s4/beh/serviceentrysheet/v1/ServiceEntrySheet/Changed/v1</w:t>
            </w:r>
          </w:p>
        </w:tc>
        <w:tc>
          <w:tcPr>
            <w:tcW w:type="dxa" w:w="1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5</w:t>
            </w:r>
          </w:p>
        </w:tc>
        <w:tc>
          <w:tcPr>
            <w:tcW w:type="dxa" w:w="1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Acknowledged</w:t>
            </w:r>
          </w:p>
        </w:tc>
      </w:tr>
      <w:tr>
        <w:tc>
          <w:tcPr>
            <w:tcW w:type="dxa" w:w="6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ssm/s4h/dev/ce/sap/s4/beh/businesspartner/v1/BusinessPartner/Changed/v1</w:t>
            </w:r>
          </w:p>
        </w:tc>
        <w:tc>
          <w:tcPr>
            <w:tcW w:type="dxa" w:w="1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1</w:t>
            </w:r>
          </w:p>
        </w:tc>
        <w:tc>
          <w:tcPr>
            <w:tcW w:type="dxa" w:w="1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Acknowledged</w:t>
            </w:r>
          </w:p>
        </w:tc>
      </w:tr>
      <w:tr>
        <w:tc>
          <w:tcPr>
            <w:tcW w:type="dxa" w:w="6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ssm/s4h/dev/ce/sap/s4/beh/WarehouseOrder/TaskCreated/v1</w:t>
            </w:r>
          </w:p>
        </w:tc>
        <w:tc>
          <w:tcPr>
            <w:tcW w:type="dxa" w:w="1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2</w:t>
            </w:r>
          </w:p>
        </w:tc>
        <w:tc>
          <w:tcPr>
            <w:tcW w:type="dxa" w:w="1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Acknowledged</w:t>
            </w:r>
          </w:p>
        </w:tc>
      </w:tr>
    </w:tbl>
    <w:p>
      <w:pPr>
        <w:spacing w:after="16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val="false"/>
          <w:bCs w:val="false"/>
          <w:i w:val="false"/>
          <w:iCs w:val="false"/>
          <w:color w:val="111111"/>
          <w:sz w:val="21"/>
          <w:szCs w:val="21"/>
        </w:rPr>
        <w:t xml:space="preserve">The service entry sheet topic is directly relevant (it is part of the supplier invoice / RCTI flow). The other two are other teams' proofs of concept; bindings on a channel are independent of each other, so they stay in place. The S/4-to-broker leg is therefore proven working, and the full production topic format is confirmed — see section 5.</w:t>
      </w:r>
    </w:p>
    <w:p>
      <w:pPr>
        <w:pStyle w:val="Heading1"/>
        <w:spacing w:after="140" w:before="320"/>
      </w:pPr>
      <w:r>
        <w:rPr>
          <w:rFonts w:ascii="Arial" w:cs="Arial" w:eastAsia="Arial" w:hAnsi="Arial"/>
          <w:b/>
          <w:bCs/>
          <w:color w:val="1F3864"/>
          <w:sz w:val="30"/>
          <w:szCs w:val="30"/>
        </w:rPr>
        <w:t xml:space="preserve">5  Naming conventions</w:t>
      </w:r>
    </w:p>
    <w:p>
      <w:pPr>
        <w:spacing w:after="120"/>
      </w:pPr>
      <w:r>
        <w:rPr>
          <w:rFonts w:ascii="Arial" w:cs="Arial" w:eastAsia="Arial" w:hAnsi="Arial"/>
          <w:b w:val="false"/>
          <w:bCs w:val="false"/>
          <w:i w:val="false"/>
          <w:iCs w:val="false"/>
          <w:color w:val="111111"/>
          <w:sz w:val="21"/>
          <w:szCs w:val="21"/>
        </w:rPr>
        <w:t xml:space="preserve">The conventions below extend what is already observed in the tenant (namespace ssm/s4h/dev, message client emis-s4hdev-client, queue s4h-dev-ses-events). Names marked observed exist today; everything else is the convention to create with. Environments are dev, tst and prd.</w:t>
      </w:r>
    </w:p>
    <w:p>
      <w:pPr>
        <w:pStyle w:val="Heading2"/>
        <w:spacing w:after="120" w:before="240"/>
      </w:pPr>
      <w:r>
        <w:rPr>
          <w:rFonts w:ascii="Arial" w:cs="Arial" w:eastAsia="Arial" w:hAnsi="Arial"/>
          <w:b/>
          <w:bCs/>
          <w:color w:val="1F3864"/>
          <w:sz w:val="24"/>
          <w:szCs w:val="24"/>
        </w:rPr>
        <w:t xml:space="preserve">5.1  Event broker objects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c>
          <w:tcPr>
            <w:tcW w:type="dxa" w:w="28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Object</w:t>
            </w:r>
          </w:p>
        </w:tc>
        <w:tc>
          <w:tcPr>
            <w:tcW w:type="dxa" w:w="44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Convention</w:t>
            </w:r>
          </w:p>
        </w:tc>
        <w:tc>
          <w:tcPr>
            <w:tcW w:type="dxa" w:w="2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Example / status</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Namespace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ssm/s4h/{env}</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ssm/s4h/dev — observed</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client</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emis-s4h{env}-client</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emis-s4hdev-client — observed</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Topic (set by S/4, not chosen by us)</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ssm/s4h/{env}/ce/sap/s4/beh/{object}/v1/{Object}/{Event}/v1</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confirmed live for ServiceEntrySheet/Changed</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Intake queue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ssm/s4h/{env}/{data-set-code}-events</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ssm/s4h/dev/service-order-events</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Dead-message queue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ssm/s4h/{env}/dmq</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one per environment — mandatory</w:t>
            </w:r>
          </w:p>
        </w:tc>
      </w:tr>
    </w:tbl>
    <w:p>
      <w:pPr>
        <w:spacing w:after="16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val="false"/>
          <w:bCs w:val="false"/>
          <w:i w:val="false"/>
          <w:iCs w:val="false"/>
          <w:color w:val="111111"/>
          <w:sz w:val="21"/>
          <w:szCs w:val="21"/>
        </w:rPr>
        <w:t xml:space="preserve">The existing queue </w:t>
      </w:r>
      <w:r>
        <w:rPr>
          <w:rFonts w:ascii="Consolas" w:cs="Consolas" w:eastAsia="Consolas" w:hAnsi="Consolas"/>
          <w:color w:val="111111"/>
          <w:sz w:val="18"/>
          <w:szCs w:val="18"/>
        </w:rPr>
        <w:t xml:space="preserve">ssm/s4h/dev/s4h-dev-ses-events</w:t>
      </w:r>
      <w:r>
        <w:rPr>
          <w:rFonts w:ascii="Arial" w:cs="Arial" w:eastAsia="Arial" w:hAnsi="Arial"/>
          <w:b w:val="false"/>
          <w:bCs w:val="false"/>
          <w:i w:val="false"/>
          <w:iCs w:val="false"/>
          <w:color w:val="111111"/>
          <w:sz w:val="21"/>
          <w:szCs w:val="21"/>
        </w:rPr>
        <w:t xml:space="preserve"> predates this convention; keep it during proof-of-concept work and replace it with </w:t>
      </w:r>
      <w:r>
        <w:rPr>
          <w:rFonts w:ascii="Consolas" w:cs="Consolas" w:eastAsia="Consolas" w:hAnsi="Consolas"/>
          <w:color w:val="111111"/>
          <w:sz w:val="18"/>
          <w:szCs w:val="18"/>
        </w:rPr>
        <w:t xml:space="preserve">ssm/s4h/dev/supplier-invoice-events</w:t>
      </w:r>
      <w:r>
        <w:rPr>
          <w:rFonts w:ascii="Arial" w:cs="Arial" w:eastAsia="Arial" w:hAnsi="Arial"/>
          <w:b w:val="false"/>
          <w:bCs w:val="false"/>
          <w:i w:val="false"/>
          <w:iCs w:val="false"/>
          <w:color w:val="111111"/>
          <w:sz w:val="21"/>
          <w:szCs w:val="21"/>
        </w:rPr>
        <w:t xml:space="preserve"> (subscribing to both the supplier invoice and service entry sheet topics) when the build starts.</w:t>
      </w:r>
    </w:p>
    <w:p>
      <w:pPr>
        <w:pStyle w:val="Heading2"/>
        <w:spacing w:after="120" w:before="240"/>
      </w:pPr>
      <w:r>
        <w:rPr>
          <w:rFonts w:ascii="Arial" w:cs="Arial" w:eastAsia="Arial" w:hAnsi="Arial"/>
          <w:b/>
          <w:bCs/>
          <w:color w:val="1F3864"/>
          <w:sz w:val="24"/>
          <w:szCs w:val="24"/>
        </w:rPr>
        <w:t xml:space="preserve">5.2  Data set codes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c>
          <w:tcPr>
            <w:tcW w:type="dxa" w:w="4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Data set</w:t>
            </w:r>
          </w:p>
        </w:tc>
        <w:tc>
          <w:tcPr>
            <w:tcW w:type="dxa" w:w="26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Code (queues, files, folders)</w:t>
            </w:r>
          </w:p>
        </w:tc>
        <w:tc>
          <w:tcPr>
            <w:tcW w:type="dxa" w:w="26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Code (subscription list)</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Service orders</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service-order</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SERVICE_ORDER</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Enterprise project + WBS</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enterprise-project</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ENTERPRISE_PROJECT</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Customer invoice</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customer-invoice</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CUSTOMER_INVOICE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Supplier invoice / RCTI</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supplier-invoice</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SUPPLIER_INVOICE</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Project time &amp; equipment</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time-equipment</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TIME_EQUIPMENT</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Available stock</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stock</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STOCK</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Purchase orders</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purchase-order</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PURCHASE_ORDER</w:t>
            </w:r>
          </w:p>
        </w:tc>
      </w:tr>
      <w:tr>
        <w:tc>
          <w:tcPr>
            <w:tcW w:type="dxa" w:w="4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Job financial summary (derived)</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job-financial-summary</w:t>
            </w:r>
          </w:p>
        </w:tc>
        <w:tc>
          <w:tcPr>
            <w:tcW w:type="dxa" w:w="26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JOB_FIN_SUMMARY</w:t>
            </w:r>
          </w:p>
        </w:tc>
      </w:tr>
    </w:tbl>
    <w:p>
      <w:pPr>
        <w:pStyle w:val="Heading2"/>
        <w:spacing w:after="120" w:before="240"/>
      </w:pPr>
      <w:r>
        <w:rPr>
          <w:rFonts w:ascii="Arial" w:cs="Arial" w:eastAsia="Arial" w:hAnsi="Arial"/>
          <w:b/>
          <w:bCs/>
          <w:color w:val="1F3864"/>
          <w:sz w:val="24"/>
          <w:szCs w:val="24"/>
        </w:rPr>
        <w:t xml:space="preserve">5.3  CPI artefacts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c>
          <w:tcPr>
            <w:tcW w:type="dxa" w:w="28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Artefact</w:t>
            </w:r>
          </w:p>
        </w:tc>
        <w:tc>
          <w:tcPr>
            <w:tcW w:type="dxa" w:w="44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Convention</w:t>
            </w:r>
          </w:p>
        </w:tc>
        <w:tc>
          <w:tcPr>
            <w:tcW w:type="dxa" w:w="2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Example</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Package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SS S4H FSM Distribution</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one package, all environments via transport</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change-notice receiver</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FSMD_01_NoticeReceiver_{DataSetCode}</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FSMD_01_NoticeReceiver_ServiceOrder</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timed check</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FSMD_02_TimedCheck</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one flow, parameter set per data set</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message builder</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FSMD_03_MessageBuilder</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router</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FSMD_04_Router</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delivery sender</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FSMD_05_Sender_{System}</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FSMD_05_Sender_JAMS</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Flow: re-send tool</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FSMD_06_Resend</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Delivery queue (CPI JMS)</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FSMD_{SYSTEM}</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FSMD_JAMS, FSMD_SN_ITSM, FSMD_SN_DEF, FSMD_SITETRACKER</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Error queue (CPI JMS)</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FSMD_{SYSTEM}_ERR</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FSMD_JAMS_ERR</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Credential alias</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FSMD_{SYSTEM}_{ENV}</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FSMD_JAMS_PRD</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Last-run-time variable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FSMD_LASTRUN_{DATASET}</w:t>
            </w:r>
          </w:p>
        </w:tc>
        <w:tc>
          <w:tcPr>
            <w:tcW w:type="dxa" w:w="22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FSMD_LASTRUN_SERVICE_ORDER</w:t>
            </w:r>
          </w:p>
        </w:tc>
      </w:tr>
    </w:tbl>
    <w:p>
      <w:pPr>
        <w:pStyle w:val="Heading2"/>
        <w:spacing w:after="120" w:before="240"/>
      </w:pPr>
      <w:r>
        <w:rPr>
          <w:rFonts w:ascii="Arial" w:cs="Arial" w:eastAsia="Arial" w:hAnsi="Arial"/>
          <w:b/>
          <w:bCs/>
          <w:color w:val="1F3864"/>
          <w:sz w:val="24"/>
          <w:szCs w:val="24"/>
        </w:rPr>
        <w:t xml:space="preserve">5.4  Interfaces on the receiving side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c>
          <w:tcPr>
            <w:tcW w:type="dxa" w:w="28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Interface</w:t>
            </w:r>
          </w:p>
        </w:tc>
        <w:tc>
          <w:tcPr>
            <w:tcW w:type="dxa" w:w="44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Convention</w:t>
            </w:r>
          </w:p>
        </w:tc>
        <w:tc>
          <w:tcPr>
            <w:tcW w:type="dxa" w:w="2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Note</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 web service path</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/api/s4/{data-set-code}</w:t>
            </w:r>
          </w:p>
        </w:tc>
        <w:tc>
          <w:tcPr>
            <w:tcW w:type="dxa" w:w="2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final names are JAMS's choice; CPI treats them as configuration</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ServiceNow staging table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one import-set staging table per data set</w:t>
            </w:r>
          </w:p>
        </w:tc>
        <w:tc>
          <w:tcPr>
            <w:tcW w:type="dxa" w:w="2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named by the ServiceNow administrator</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File drop folder</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/inbound/{data-set-code}/</w:t>
            </w:r>
          </w:p>
        </w:tc>
        <w:tc>
          <w:tcPr>
            <w:tcW w:type="dxa" w:w="2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per file-delivery system</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File name</w:t>
            </w:r>
          </w:p>
        </w:tc>
        <w:tc>
          <w:tcPr>
            <w:tcW w:type="dxa" w:w="44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{data-set-code}_{yyyymmdd-hhmmss}.csv (or .json)</w:t>
            </w:r>
          </w:p>
        </w:tc>
        <w:tc>
          <w:tcPr>
            <w:tcW w:type="dxa" w:w="2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sortable, collision-free</w:t>
            </w:r>
          </w:p>
        </w:tc>
      </w:tr>
    </w:tbl>
    <w:p>
      <w:pPr>
        <w:pStyle w:val="Heading1"/>
        <w:spacing w:after="140" w:before="320"/>
      </w:pPr>
      <w:r>
        <w:rPr>
          <w:rFonts w:ascii="Arial" w:cs="Arial" w:eastAsia="Arial" w:hAnsi="Arial"/>
          <w:b/>
          <w:bCs/>
          <w:color w:val="1F3864"/>
          <w:sz w:val="30"/>
          <w:szCs w:val="30"/>
        </w:rPr>
        <w:t xml:space="preserve">6  Component design</w:t>
      </w:r>
    </w:p>
    <w:p>
      <w:pPr>
        <w:spacing w:after="120"/>
      </w:pPr>
      <w:r>
        <w:rPr>
          <w:rFonts w:ascii="Arial" w:cs="Arial" w:eastAsia="Arial" w:hAnsi="Arial"/>
          <w:b w:val="false"/>
          <w:bCs w:val="false"/>
          <w:i w:val="false"/>
          <w:iCs w:val="false"/>
          <w:color w:val="111111"/>
          <w:sz w:val="21"/>
          <w:szCs w:val="21"/>
        </w:rPr>
        <w:t xml:space="preserve">All development is inside CPI, assembled from standard delivered adapters. There are no custom platform components, no new databases, and no AI services anywhere in this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00"/>
      </w:tblGrid>
      <w:tr>
        <w:tc>
          <w:tcPr>
            <w:tcW w:type="dxa" w:w="10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ID</w:t>
            </w:r>
          </w:p>
        </w:tc>
        <w:tc>
          <w:tcPr>
            <w:tcW w:type="dxa" w:w="3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Component</w:t>
            </w:r>
          </w:p>
        </w:tc>
        <w:tc>
          <w:tcPr>
            <w:tcW w:type="dxa" w:w="51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Design</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B1</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Change-notice receiver (one per event-enabled data set)</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Consumes the data set's intake queue with the message client's credentials. On each notice, reads the full record from the released S/4 API and passes it to B4. The notice's own contents are never forwarded. Consumer settings in section 8.3.</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B2</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Timed check (one flow, settings per data set)</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On its schedule, calls the released S/4 API with the filter “changed after {last run time}”, reads all result pages, passes each record to B4. Starting schedules: 5 min service orders and stock; 15 min projects; 60 min invoices and purchase orders — to be confirmed against JAMS operational needs.</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B3</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Last-run-time store</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CPI's own variable store, one variable per data set (naming in 5.3). Moves forward only after every record of the run is on the delivery queues; a failed run repeats safely because saving is create-or-update.</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B4</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builder</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Wraps the record in the standard message with the tracking fields of section 9.</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B5</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Subscription list + router</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Configuration table (section 10) evaluated by the router; one copy of the message per matching system, placed on that system's delivery queue. No other path to a field system exists.</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B6</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Delivery queues</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One CPI JMS queue per system plus one error queue per system (naming in 5.3). Retry with growing gaps to about one hour, then park on the error queue and alert the system's named owner.</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B7</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Delivery senders (one per system)</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Convert the standard message into the receiving system's own field names and call its interface — section 11.</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B8</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Re-send tool</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Re-sends an error queue after recovery, or all records of a data set changed between two dates — also the mechanism for first loads.</w:t>
            </w:r>
          </w:p>
        </w:tc>
      </w:tr>
      <w:tr>
        <w:tc>
          <w:tcPr>
            <w:tcW w:type="dxa" w:w="10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B9</w:t>
            </w:r>
          </w:p>
        </w:tc>
        <w:tc>
          <w:tcPr>
            <w:tcW w:type="dxa" w:w="3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Error logging</w:t>
            </w:r>
          </w:p>
        </w:tc>
        <w:tc>
          <w:tcPr>
            <w:tcW w:type="dxa" w:w="5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Extends the existing error log so both directions of integration are monitored in one place. Entries carry system, data set, record identifier and reason.</w:t>
            </w:r>
          </w:p>
        </w:tc>
      </w:tr>
    </w:tbl>
    <w:p>
      <w:pPr>
        <w:pStyle w:val="Heading1"/>
        <w:spacing w:after="140" w:before="320"/>
      </w:pPr>
      <w:r>
        <w:rPr>
          <w:rFonts w:ascii="Arial" w:cs="Arial" w:eastAsia="Arial" w:hAnsi="Arial"/>
          <w:b/>
          <w:bCs/>
          <w:color w:val="1F3864"/>
          <w:sz w:val="30"/>
          <w:szCs w:val="30"/>
        </w:rPr>
        <w:t xml:space="preserve">7  Data sets and their 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900"/>
        <w:gridCol w:w="1900"/>
      </w:tblGrid>
      <w:tr>
        <w:tc>
          <w:tcPr>
            <w:tcW w:type="dxa" w:w="29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Data set</w:t>
            </w:r>
          </w:p>
        </w:tc>
        <w:tc>
          <w:tcPr>
            <w:tcW w:type="dxa" w:w="27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S/4 read API (existing, reused)</w:t>
            </w:r>
          </w:p>
        </w:tc>
        <w:tc>
          <w:tcPr>
            <w:tcW w:type="dxa" w:w="19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Detection</w:t>
            </w:r>
          </w:p>
        </w:tc>
        <w:tc>
          <w:tcPr>
            <w:tcW w:type="dxa" w:w="19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Delivered to</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Service orders</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/serviceorders</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Notice + 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 SN ITSM, SN Defence, (Sitetracker tbc)</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Enterprise project + WBS</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/enterpriseprojects with WBS expansion</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Notice + 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 SN Defence</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Customer invoice</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/invoicebilling</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Notice + 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Supplier invoice / RCTI</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/RCTI</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Notice + 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Project time &amp; equipment</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/journalentry (cost and quantity by WBS)</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 SN Defence</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Available stock</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product master + material stock; /journalentry for cost</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 SN Defence</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Purchase orders</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purchase order list — header, items, history</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Notice + timed check</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w:t>
            </w:r>
          </w:p>
        </w:tc>
      </w:tr>
      <w:tr>
        <w:tc>
          <w:tcPr>
            <w:tcW w:type="dxa" w:w="2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Job financial summary</w:t>
            </w:r>
          </w:p>
        </w:tc>
        <w:tc>
          <w:tcPr>
            <w:tcW w:type="dxa" w:w="27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derived: enterprise project + /journalentry by cost type</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Timed check (derived)</w:t>
            </w:r>
          </w:p>
        </w:tc>
        <w:tc>
          <w:tcPr>
            <w:tcW w:type="dxa" w:w="1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JAMS</w:t>
            </w:r>
          </w:p>
        </w:tc>
      </w:tr>
    </w:tbl>
    <w:p>
      <w:pPr>
        <w:spacing w:after="16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val="false"/>
          <w:bCs w:val="false"/>
          <w:i w:val="false"/>
          <w:iCs w:val="false"/>
          <w:color w:val="111111"/>
          <w:sz w:val="21"/>
          <w:szCs w:val="21"/>
        </w:rPr>
        <w:t xml:space="preserve">Job financial summary is a derived data set: it is composed from the project and journal entry reads on the timed check. There is no single S/4 object to bind an event to, and none is needed.</w:t>
      </w:r>
    </w:p>
    <w:p>
      <w:pPr>
        <w:pStyle w:val="Heading1"/>
        <w:spacing w:after="140" w:before="320"/>
      </w:pPr>
      <w:r>
        <w:rPr>
          <w:rFonts w:ascii="Arial" w:cs="Arial" w:eastAsia="Arial" w:hAnsi="Arial"/>
          <w:b/>
          <w:bCs/>
          <w:color w:val="1F3864"/>
          <w:sz w:val="30"/>
          <w:szCs w:val="30"/>
        </w:rPr>
        <w:t xml:space="preserve">8  Event intake design</w:t>
      </w:r>
    </w:p>
    <w:p>
      <w:pPr>
        <w:pStyle w:val="Heading2"/>
        <w:spacing w:after="120" w:before="240"/>
      </w:pPr>
      <w:r>
        <w:rPr>
          <w:rFonts w:ascii="Arial" w:cs="Arial" w:eastAsia="Arial" w:hAnsi="Arial"/>
          <w:b/>
          <w:bCs/>
          <w:color w:val="1F3864"/>
          <w:sz w:val="24"/>
          <w:szCs w:val="24"/>
        </w:rPr>
        <w:t xml:space="preserve">8.1  Outbound bindings to add on channel EMIS_COM_0092</w:t>
      </w:r>
    </w:p>
    <w:p>
      <w:pPr>
        <w:spacing w:after="120"/>
      </w:pPr>
      <w:r>
        <w:rPr>
          <w:rFonts w:ascii="Arial" w:cs="Arial" w:eastAsia="Arial" w:hAnsi="Arial"/>
          <w:b w:val="false"/>
          <w:bCs w:val="false"/>
          <w:i w:val="false"/>
          <w:iCs w:val="false"/>
          <w:color w:val="111111"/>
          <w:sz w:val="21"/>
          <w:szCs w:val="21"/>
        </w:rPr>
        <w:t xml:space="preserve">Added in the standard “Enterprise Event Enablement — Configure Channel Binding” app, roughly two minutes each. The app's object-type list (183 entries in our tenant) is the final authority on names.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100"/>
      </w:tblGrid>
      <w:tr>
        <w:tc>
          <w:tcPr>
            <w:tcW w:type="dxa" w:w="33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Data set</w:t>
            </w:r>
          </w:p>
        </w:tc>
        <w:tc>
          <w:tcPr>
            <w:tcW w:type="dxa" w:w="30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Object type</w:t>
            </w:r>
          </w:p>
        </w:tc>
        <w:tc>
          <w:tcPr>
            <w:tcW w:type="dxa" w:w="31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Events to tick</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Service orders</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ServiceOrder</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 Changed</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Enterprise project</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EnterpriseProject</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 Changed</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Customer invoice</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BillingDocument</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 Changed</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Supplier invoice / RCTI</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SupplierInvoice (ServiceEntrySheet already live)</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 Changed</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Purchase orders</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PurchaseOrder</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 Changed</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Available stock</w:t>
            </w:r>
          </w:p>
        </w:tc>
        <w:tc>
          <w:tcPr>
            <w:tcW w:type="dxa" w:w="3000"/>
            <w:tcMar>
              <w:top w:type="dxa" w:w="60"/>
              <w:left w:type="dxa" w:w="90"/>
              <w:bottom w:type="dxa" w:w="60"/>
              <w:right w:type="dxa" w:w="90"/>
            </w:tcMar>
          </w:tcPr>
          <w:p>
            <w:pPr>
              <w:spacing w:after="0"/>
            </w:pPr>
            <w:r>
              <w:rPr>
                <w:rFonts w:ascii="Consolas" w:cs="Consolas" w:eastAsia="Consolas" w:hAnsi="Consolas"/>
                <w:b w:val="false"/>
                <w:bCs w:val="false"/>
                <w:color w:val="111111"/>
                <w:sz w:val="17"/>
                <w:szCs w:val="17"/>
              </w:rPr>
              <w:t xml:space="preserve">MaterialDocument — verify suitability; timed check if not</w:t>
            </w:r>
          </w:p>
        </w:tc>
        <w:tc>
          <w:tcPr>
            <w:tcW w:type="dxa" w:w="3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Created</w:t>
            </w:r>
          </w:p>
        </w:tc>
      </w:tr>
    </w:tbl>
    <w:p>
      <w:pPr>
        <w:pStyle w:val="Heading2"/>
        <w:spacing w:after="120" w:before="240"/>
      </w:pPr>
      <w:r>
        <w:rPr>
          <w:rFonts w:ascii="Arial" w:cs="Arial" w:eastAsia="Arial" w:hAnsi="Arial"/>
          <w:b/>
          <w:bCs/>
          <w:color w:val="1F3864"/>
          <w:sz w:val="24"/>
          <w:szCs w:val="24"/>
        </w:rPr>
        <w:t xml:space="preserve">8.2  Intake queues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c>
          <w:tcPr>
            <w:tcW w:type="dxa" w:w="33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Setting</w:t>
            </w:r>
          </w:p>
        </w:tc>
        <w:tc>
          <w:tcPr>
            <w:tcW w:type="dxa" w:w="61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Value and reason</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Name</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per convention 5.1 — one queue per data set, subscribed to that data set's topics</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Access type</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Non-exclusive — allows parallel consumers later</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size</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1 MB (default) — notices carry identifiers only, far below the cap</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Redelivery</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Maximum 5 attempts, then move to the dead-message queue</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Dead-message queue</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ssm/s4h/{env}/dmq — mandatory. The creation dialog's default of “None” must never be used: a repeatedly failing notice would be discarded silently</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Time to live</w:t>
            </w:r>
          </w:p>
        </w:tc>
        <w:tc>
          <w:tcPr>
            <w:tcW w:type="dxa" w:w="61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604,800 seconds (7 days) — a notice survives a long-weekend outage</w:t>
            </w:r>
          </w:p>
        </w:tc>
      </w:tr>
    </w:tbl>
    <w:p>
      <w:pPr>
        <w:pStyle w:val="Heading2"/>
        <w:spacing w:after="120" w:before="240"/>
      </w:pPr>
      <w:r>
        <w:rPr>
          <w:rFonts w:ascii="Arial" w:cs="Arial" w:eastAsia="Arial" w:hAnsi="Arial"/>
          <w:b/>
          <w:bCs/>
          <w:color w:val="1F3864"/>
          <w:sz w:val="24"/>
          <w:szCs w:val="24"/>
        </w:rPr>
        <w:t xml:space="preserve">8.3  CPI consumer settings (component B1)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300"/>
      </w:tblGrid>
      <w:tr>
        <w:tc>
          <w:tcPr>
            <w:tcW w:type="dxa" w:w="33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Setting</w:t>
            </w:r>
          </w:p>
        </w:tc>
        <w:tc>
          <w:tcPr>
            <w:tcW w:type="dxa" w:w="18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Value</w:t>
            </w:r>
          </w:p>
        </w:tc>
        <w:tc>
          <w:tcPr>
            <w:tcW w:type="dxa" w:w="43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Reason</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Concurrent processes</w:t>
            </w:r>
          </w:p>
        </w:tc>
        <w:tc>
          <w:tcPr>
            <w:tcW w:type="dxa" w:w="1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1</w:t>
            </w:r>
          </w:p>
        </w:tc>
        <w:tc>
          <w:tcPr>
            <w:tcW w:type="dxa" w:w="4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preserves arrival order; safe to raise later because the newest-change-wins rule makes order errors harmless — start at 1, tune with volume</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Prefetched messages</w:t>
            </w:r>
          </w:p>
        </w:tc>
        <w:tc>
          <w:tcPr>
            <w:tcW w:type="dxa" w:w="1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5 (default)</w:t>
            </w:r>
          </w:p>
        </w:tc>
        <w:tc>
          <w:tcPr>
            <w:tcW w:type="dxa" w:w="4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no reason to change</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Consume expired messages</w:t>
            </w:r>
          </w:p>
        </w:tc>
        <w:tc>
          <w:tcPr>
            <w:tcW w:type="dxa" w:w="1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Off</w:t>
            </w:r>
          </w:p>
        </w:tc>
        <w:tc>
          <w:tcPr>
            <w:tcW w:type="dxa" w:w="4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an expired notice is covered by the next timed check</w:t>
            </w:r>
          </w:p>
        </w:tc>
      </w:tr>
      <w:tr>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Maximum retries</w:t>
            </w:r>
          </w:p>
        </w:tc>
        <w:tc>
          <w:tcPr>
            <w:tcW w:type="dxa" w:w="1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5, then rejected</w:t>
            </w:r>
          </w:p>
        </w:tc>
        <w:tc>
          <w:tcPr>
            <w:tcW w:type="dxa" w:w="4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after five failures the broker moves the notice to the dead-message queue, which raises the standard alert</w:t>
            </w:r>
          </w:p>
        </w:tc>
      </w:tr>
    </w:tbl>
    <w:p>
      <w:pPr>
        <w:pStyle w:val="Heading2"/>
        <w:spacing w:after="120" w:before="240"/>
      </w:pPr>
      <w:r>
        <w:rPr>
          <w:rFonts w:ascii="Arial" w:cs="Arial" w:eastAsia="Arial" w:hAnsi="Arial"/>
          <w:b/>
          <w:bCs/>
          <w:color w:val="1F3864"/>
          <w:sz w:val="24"/>
          <w:szCs w:val="24"/>
        </w:rPr>
        <w:t xml:space="preserve">8.4  The full-payload read</w:t>
      </w:r>
    </w:p>
    <w:p>
      <w:pPr>
        <w:spacing w:after="120"/>
      </w:pPr>
      <w:r>
        <w:rPr>
          <w:rFonts w:ascii="Arial" w:cs="Arial" w:eastAsia="Arial" w:hAnsi="Arial"/>
          <w:b w:val="false"/>
          <w:bCs w:val="false"/>
          <w:i w:val="false"/>
          <w:iCs w:val="false"/>
          <w:color w:val="111111"/>
          <w:sz w:val="21"/>
          <w:szCs w:val="21"/>
        </w:rPr>
        <w:t xml:space="preserve">S/4's change notices carry the record's identifier, not the record — deliberately. This design keeps that pattern for four reasons:</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Never stale: the record is read at processing time, so a late or out-of-order notice cannot deliver old data.</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Secure: business data never sits on the event broker; it moves only over the authorised API call, after the subscription check.</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Within limits by design: notices stay tiny, so record size never constrains the event path.</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One code path: a notice and a timed-check hit produce identical processing, so switching a data set between the two changes nothing downstream.</w:t>
      </w:r>
    </w:p>
    <w:p>
      <w:pPr>
        <w:pStyle w:val="Heading1"/>
        <w:spacing w:after="140" w:before="320"/>
      </w:pPr>
      <w:r>
        <w:rPr>
          <w:rFonts w:ascii="Arial" w:cs="Arial" w:eastAsia="Arial" w:hAnsi="Arial"/>
          <w:b/>
          <w:bCs/>
          <w:color w:val="1F3864"/>
          <w:sz w:val="30"/>
          <w:szCs w:val="30"/>
        </w:rPr>
        <w:t xml:space="preserve">9  Message design</w:t>
      </w:r>
    </w:p>
    <w:p>
      <w:pPr>
        <w:spacing w:after="120"/>
      </w:pPr>
      <w:r>
        <w:rPr>
          <w:rFonts w:ascii="Arial" w:cs="Arial" w:eastAsia="Arial" w:hAnsi="Arial"/>
          <w:b w:val="false"/>
          <w:bCs w:val="false"/>
          <w:i w:val="false"/>
          <w:iCs w:val="false"/>
          <w:color w:val="111111"/>
          <w:sz w:val="21"/>
          <w:szCs w:val="21"/>
        </w:rPr>
        <w:t xml:space="preserve">Every message to every system has the same two parts: the tracking fields below, then the record in the standard message format.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Tracking field</w:t>
            </w:r>
          </w:p>
        </w:tc>
        <w:tc>
          <w:tcPr>
            <w:tcW w:type="dxa" w:w="66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Content</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identifier</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Unique per message</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Correlation identifier</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S/4 record key plus change reference — the same value the sending system received in its acknowledgement, letting it match this delivery to what it sent</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Data set</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Per the codes in 5.2</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Record identifier</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S/4 document number — the matching key for create-or-update</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Contract identifier</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contract the record belongs to</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Changed at</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Date and time of the change in S/4</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Sent at</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Date and time CPI sent the message</w:t>
            </w:r>
          </w:p>
        </w:tc>
      </w:tr>
      <w:tr>
        <w:tc>
          <w:tcPr>
            <w:tcW w:type="dxa" w:w="28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Format version</w:t>
            </w:r>
          </w:p>
        </w:tc>
        <w:tc>
          <w:tcPr>
            <w:tcW w:type="dxa" w:w="66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Starts at 1.0; only additions are allowed within a major version</w:t>
            </w:r>
          </w:p>
        </w:tc>
      </w:tr>
    </w:tbl>
    <w:p>
      <w:pPr>
        <w:spacing w:after="160"/>
      </w:pPr>
      <w:r>
        <w:rPr>
          <w:rFonts w:ascii="Arial" w:cs="Arial" w:eastAsia="Arial" w:hAnsi="Arial"/>
          <w:b w:val="false"/>
          <w:bCs w:val="false"/>
          <w:i w:val="false"/>
          <w:iCs w:val="false"/>
          <w:color w:val="111111"/>
          <w:sz w:val="21"/>
          <w:szCs w:val="21"/>
        </w:rPr>
        <w:t xml:space="preserve"/>
      </w:r>
    </w:p>
    <w:p>
      <w:pPr>
        <w:spacing w:after="120"/>
      </w:pPr>
      <w:r>
        <w:rPr>
          <w:rFonts w:ascii="Arial" w:cs="Arial" w:eastAsia="Arial" w:hAnsi="Arial"/>
          <w:b w:val="false"/>
          <w:bCs w:val="false"/>
          <w:i w:val="false"/>
          <w:iCs w:val="false"/>
          <w:color w:val="111111"/>
          <w:sz w:val="21"/>
          <w:szCs w:val="21"/>
        </w:rPr>
        <w:t xml:space="preserve">Ordering rule: messages for one record are delivered in order per system; if an older change nevertheless arrives after a newer one, the receiving side keeps the newer one by comparing the changed-at value. Duplicate rule: receiving the same message twice must change nothing — guaranteed by create-or-update on the record identifier.</w:t>
      </w:r>
    </w:p>
    <w:p>
      <w:pPr>
        <w:pStyle w:val="Heading1"/>
        <w:spacing w:after="140" w:before="320"/>
      </w:pPr>
      <w:r>
        <w:rPr>
          <w:rFonts w:ascii="Arial" w:cs="Arial" w:eastAsia="Arial" w:hAnsi="Arial"/>
          <w:b/>
          <w:bCs/>
          <w:color w:val="1F3864"/>
          <w:sz w:val="30"/>
          <w:szCs w:val="30"/>
        </w:rPr>
        <w:t xml:space="preserve">10  Subscription list</w:t>
      </w:r>
    </w:p>
    <w:p>
      <w:pPr>
        <w:spacing w:after="120"/>
      </w:pPr>
      <w:r>
        <w:rPr>
          <w:rFonts w:ascii="Arial" w:cs="Arial" w:eastAsia="Arial" w:hAnsi="Arial"/>
          <w:b w:val="false"/>
          <w:bCs w:val="false"/>
          <w:i w:val="false"/>
          <w:iCs w:val="false"/>
          <w:color w:val="111111"/>
          <w:sz w:val="21"/>
          <w:szCs w:val="21"/>
        </w:rPr>
        <w:t xml:space="preserve">Configuration, not code, changed only through the transport process. One row per system per data set: system name, data set code, contract scope (the security boundary — patterns of contract identifiers this system may receive), delivery method (WEB_SERVICE, FILE or PULL), address alias, active flag. The router delivers only on a matching active row; there is no other path by which data reaches a field system. This single rule is how Defence data separation is enforced, and it must be demonstrated in testing.</w:t>
      </w:r>
    </w:p>
    <w:p>
      <w:pPr>
        <w:pStyle w:val="Heading1"/>
        <w:spacing w:after="140" w:before="320"/>
      </w:pPr>
      <w:r>
        <w:rPr>
          <w:rFonts w:ascii="Arial" w:cs="Arial" w:eastAsia="Arial" w:hAnsi="Arial"/>
          <w:b/>
          <w:bCs/>
          <w:color w:val="1F3864"/>
          <w:sz w:val="30"/>
          <w:szCs w:val="30"/>
        </w:rPr>
        <w:t xml:space="preserve">11  Delivery interfaces, per system</w:t>
      </w:r>
    </w:p>
    <w:p>
      <w:pPr>
        <w:pStyle w:val="Heading2"/>
        <w:spacing w:after="120" w:before="240"/>
      </w:pPr>
      <w:r>
        <w:rPr>
          <w:rFonts w:ascii="Arial" w:cs="Arial" w:eastAsia="Arial" w:hAnsi="Arial"/>
          <w:b/>
          <w:bCs/>
          <w:color w:val="1F3864"/>
          <w:sz w:val="24"/>
          <w:szCs w:val="24"/>
        </w:rPr>
        <w:t xml:space="preserve">11.1  JAMS — the only development outside CPI</w:t>
      </w:r>
    </w:p>
    <w:p>
      <w:pPr>
        <w:spacing w:after="120"/>
      </w:pPr>
      <w:r>
        <w:rPr>
          <w:rFonts w:ascii="Arial" w:cs="Arial" w:eastAsia="Arial" w:hAnsi="Arial"/>
          <w:b w:val="false"/>
          <w:bCs w:val="false"/>
          <w:i w:val="false"/>
          <w:iCs w:val="false"/>
          <w:color w:val="111111"/>
          <w:sz w:val="21"/>
          <w:szCs w:val="21"/>
        </w:rPr>
        <w:t xml:space="preserve">Six receiving web services, one per subscribed data set, on one base service. Recommended paths per convention 5.4; the final names are JAMS's choice and CPI treats them as configuration. One path per data set is standard web-service practice: each data set gets its own field checking, its own access control and its own error messages, and one can change without touching the others.</w:t>
      </w:r>
    </w:p>
    <w:p>
      <w:pPr>
        <w:spacing w:after="120"/>
      </w:pPr>
      <w:r>
        <w:rPr>
          <w:rFonts w:ascii="Arial" w:cs="Arial" w:eastAsia="Arial" w:hAnsi="Arial"/>
          <w:b w:val="false"/>
          <w:bCs w:val="false"/>
          <w:i w:val="false"/>
          <w:iCs w:val="false"/>
          <w:color w:val="111111"/>
          <w:sz w:val="21"/>
          <w:szCs w:val="21"/>
        </w:rPr>
        <w:t xml:space="preserve">Request: HTTPS POST over TLS, JSON body of tracking fields plus the record's fields per the agreed field list, one record per call. Login: OAuth 2.0 system user issued by the JAMS team (certificate-based login is the fallback). Behaviour: create-or-update matched on the S/4 document number; if the stored record is newer, keep it and still reply saved. Reply within 30 seconds: 200 saved; 400 rejected with a reason naming the field; anything else or no answer, and CPI retries automatically. The six field lists, six paths and login method are agreed in writing by the JAMS and CPI teams before build.</w:t>
      </w:r>
    </w:p>
    <w:p>
      <w:pPr>
        <w:pStyle w:val="Heading2"/>
        <w:spacing w:after="120" w:before="240"/>
      </w:pPr>
      <w:r>
        <w:rPr>
          <w:rFonts w:ascii="Arial" w:cs="Arial" w:eastAsia="Arial" w:hAnsi="Arial"/>
          <w:b/>
          <w:bCs/>
          <w:color w:val="1F3864"/>
          <w:sz w:val="24"/>
          <w:szCs w:val="24"/>
        </w:rPr>
        <w:t xml:space="preserve">11.2  ServiceNow — ITSM and Defence</w:t>
      </w:r>
    </w:p>
    <w:p>
      <w:pPr>
        <w:spacing w:after="120"/>
      </w:pPr>
      <w:r>
        <w:rPr>
          <w:rFonts w:ascii="Arial" w:cs="Arial" w:eastAsia="Arial" w:hAnsi="Arial"/>
          <w:b w:val="false"/>
          <w:bCs w:val="false"/>
          <w:i w:val="false"/>
          <w:iCs w:val="false"/>
          <w:color w:val="111111"/>
          <w:sz w:val="21"/>
          <w:szCs w:val="21"/>
        </w:rPr>
        <w:t xml:space="preserve">CPI posts to ServiceNow's built-in import interface: one staging table with a transform map per data set, matching on the S/4 document number (built-in create-or-update). Administrator configuration only — no ServiceNow development is permitted or needed. ITSM and Defence are separate instances with separate subscription rows, queues and logins; Defence rows carry Defence contract scope only. The import interface reports success or failure per row; row failures go to the error log with ServiceNow's reason.</w:t>
      </w:r>
    </w:p>
    <w:p>
      <w:pPr>
        <w:pStyle w:val="Heading2"/>
        <w:spacing w:after="120" w:before="240"/>
      </w:pPr>
      <w:r>
        <w:rPr>
          <w:rFonts w:ascii="Arial" w:cs="Arial" w:eastAsia="Arial" w:hAnsi="Arial"/>
          <w:b/>
          <w:bCs/>
          <w:color w:val="1F3864"/>
          <w:sz w:val="24"/>
          <w:szCs w:val="24"/>
        </w:rPr>
        <w:t xml:space="preserve">11.3  Sitetracker</w:t>
      </w:r>
    </w:p>
    <w:p>
      <w:pPr>
        <w:spacing w:after="120"/>
      </w:pPr>
      <w:r>
        <w:rPr>
          <w:rFonts w:ascii="Arial" w:cs="Arial" w:eastAsia="Arial" w:hAnsi="Arial"/>
          <w:b w:val="false"/>
          <w:bCs w:val="false"/>
          <w:i w:val="false"/>
          <w:iCs w:val="false"/>
          <w:color w:val="111111"/>
          <w:sz w:val="21"/>
          <w:szCs w:val="21"/>
        </w:rPr>
        <w:t xml:space="preserve">CPI saves records through the standard Salesforce interface Sitetracker is built on, matching on an external identifier field that holds the S/4 document number (built-in create-or-update); the bulk interface is used for first loads. Administrator configuration only: the identifier field per data set, an integration user, a connected app for login. Built when Sitetracker's need is confirmed.</w:t>
      </w:r>
    </w:p>
    <w:p>
      <w:pPr>
        <w:pStyle w:val="Heading2"/>
        <w:spacing w:after="120" w:before="240"/>
      </w:pPr>
      <w:r>
        <w:rPr>
          <w:rFonts w:ascii="Arial" w:cs="Arial" w:eastAsia="Arial" w:hAnsi="Arial"/>
          <w:b/>
          <w:bCs/>
          <w:color w:val="1F3864"/>
          <w:sz w:val="24"/>
          <w:szCs w:val="24"/>
        </w:rPr>
        <w:t xml:space="preserve">11.4  File delivery and pull</w:t>
      </w:r>
    </w:p>
    <w:p>
      <w:pPr>
        <w:spacing w:after="120"/>
      </w:pPr>
      <w:r>
        <w:rPr>
          <w:rFonts w:ascii="Arial" w:cs="Arial" w:eastAsia="Arial" w:hAnsi="Arial"/>
          <w:b w:val="false"/>
          <w:bCs w:val="false"/>
          <w:i w:val="false"/>
          <w:iCs w:val="false"/>
          <w:color w:val="111111"/>
          <w:sz w:val="21"/>
          <w:szCs w:val="21"/>
        </w:rPr>
        <w:t xml:space="preserve">A system with an import job but no interface receives files: one file per data set per interval to that system's folder, named per convention 5.4, tracking fields as columns, key-based SFTP. A system with nothing uses the existing Response Type 2 pull endpoint on its own schedule — the documented exception, kept for exactly this case. Ruled out in all cases: writing to any system's database, and any new intermediate database.</w:t>
      </w:r>
    </w:p>
    <w:p>
      <w:pPr>
        <w:pStyle w:val="Heading1"/>
        <w:spacing w:after="140" w:before="320"/>
      </w:pPr>
      <w:r>
        <w:rPr>
          <w:rFonts w:ascii="Arial" w:cs="Arial" w:eastAsia="Arial" w:hAnsi="Arial"/>
          <w:b/>
          <w:bCs/>
          <w:color w:val="1F3864"/>
          <w:sz w:val="30"/>
          <w:szCs w:val="30"/>
        </w:rPr>
        <w:t xml:space="preserve">12  Failure handling and recovery</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Each system has its own delivery queue: one system down never delays another.</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Failed sends retry automatically with growing gaps (starting at two seconds, doubling, stopping after about an hour of attempts).</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A message that exhausts its retries moves to that system's error queue and alerts the system's named support owner. Nothing is discarded silently — the same rule as the dead-message queue on the intake side.</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The re-send tool recovers an error queue after an outage, and re-sends any data set for any date range — which is also how first loads and re-synchronisations are done.</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A weekly count comparison per data set per system against S/4 confirms completeness; because payloads are read fresh and saving is create-or-update, no record-level reconciliation store is needed.</w:t>
      </w:r>
    </w:p>
    <w:p>
      <w:pPr>
        <w:pStyle w:val="Heading1"/>
        <w:spacing w:after="140" w:before="320"/>
      </w:pPr>
      <w:r>
        <w:rPr>
          <w:rFonts w:ascii="Arial" w:cs="Arial" w:eastAsia="Arial" w:hAnsi="Arial"/>
          <w:b/>
          <w:bCs/>
          <w:color w:val="1F3864"/>
          <w:sz w:val="30"/>
          <w:szCs w:val="30"/>
        </w:rPr>
        <w:t xml:space="preserve">13  Environments, transport and security</w:t>
      </w:r>
    </w:p>
    <w:p>
      <w:pPr>
        <w:spacing w:after="120"/>
      </w:pPr>
      <w:r>
        <w:rPr>
          <w:rFonts w:ascii="Arial" w:cs="Arial" w:eastAsia="Arial" w:hAnsi="Arial"/>
          <w:b w:val="false"/>
          <w:bCs w:val="false"/>
          <w:i w:val="false"/>
          <w:iCs w:val="false"/>
          <w:color w:val="111111"/>
          <w:sz w:val="21"/>
          <w:szCs w:val="21"/>
        </w:rPr>
        <w:t xml:space="preserve">Everything — flows and the subscription list — moves dev to tst to prd through the standard transport process; no manual production changes. Each environment points at its own S/4 tenant, its own namespace (5.1) and its own field-system test instances through per-environment address aliases.</w:t>
      </w:r>
    </w:p>
    <w:p>
      <w:pPr>
        <w:spacing w:after="120"/>
      </w:pPr>
      <w:r>
        <w:rPr>
          <w:rFonts w:ascii="Arial" w:cs="Arial" w:eastAsia="Arial" w:hAnsi="Arial"/>
          <w:b w:val="false"/>
          <w:bCs w:val="false"/>
          <w:i w:val="false"/>
          <w:iCs w:val="false"/>
          <w:color w:val="111111"/>
          <w:sz w:val="21"/>
          <w:szCs w:val="21"/>
        </w:rPr>
        <w:t xml:space="preserve">Security: TLS on every connection; one credential per system per environment (naming 5.3), held in CPI's secure store — no shared credentials. OAuth 2.0 wherever the receiving platform supports it; key-based SFTP for file delivery. Contract-scope filtering in the router is the data-separation control; every processed message is logged with system, contract and record identifiers, so who received what, and when, is answerable from CPI's monitoring alone.</w:t>
      </w:r>
    </w:p>
    <w:p>
      <w:pPr>
        <w:pStyle w:val="Heading1"/>
        <w:spacing w:after="140" w:before="320"/>
      </w:pPr>
      <w:r>
        <w:rPr>
          <w:rFonts w:ascii="Arial" w:cs="Arial" w:eastAsia="Arial" w:hAnsi="Arial"/>
          <w:b/>
          <w:bCs/>
          <w:color w:val="1F3864"/>
          <w:sz w:val="30"/>
          <w:szCs w:val="30"/>
        </w:rPr>
        <w:t xml:space="preserve">14  Acceptance tests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300"/>
      </w:tblGrid>
      <w:tr>
        <w:tc>
          <w:tcPr>
            <w:tcW w:type="dxa" w:w="9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w:t>
            </w:r>
          </w:p>
        </w:tc>
        <w:tc>
          <w:tcPr>
            <w:tcW w:type="dxa" w:w="52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Test</w:t>
            </w:r>
          </w:p>
        </w:tc>
        <w:tc>
          <w:tcPr>
            <w:tcW w:type="dxa" w:w="3300"/>
            <w:shd w:fill="E2EFDA" w:val="clear"/>
            <w:tcMar>
              <w:top w:type="dxa" w:w="60"/>
              <w:left w:type="dxa" w:w="90"/>
              <w:bottom w:type="dxa" w:w="60"/>
              <w:right w:type="dxa" w:w="90"/>
            </w:tcMar>
          </w:tcPr>
          <w:p>
            <w:pPr>
              <w:spacing w:after="0"/>
            </w:pPr>
            <w:r>
              <w:rPr>
                <w:rFonts w:ascii="Arial" w:cs="Arial" w:eastAsia="Arial" w:hAnsi="Arial"/>
                <w:b/>
                <w:bCs/>
                <w:color w:val="1F3864"/>
                <w:sz w:val="19"/>
                <w:szCs w:val="19"/>
              </w:rPr>
              <w:t xml:space="preserve">Pass condition</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T1</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Change a service order in S/4</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Every subscribed system receives it once, correct fields, within the agreed time</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T2</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 the same message twice</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Receiving system state identical to receiving it once</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T3</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Deliver two changes to one record out of order</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The newer change wins on the receiving side</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T4</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Take one system offline during changes, restore it</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It catches up automatically; no other system was delayed; nothing lost</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T5</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Exhaust delivery retries</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Message on the error queue, alert received, re-send tool recovers it</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T6</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Create a record on a non-Defence contract</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Demonstrate it cannot reach the Defence queue — by design</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T7</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First load of one data set by date range</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Counts match between S/4 and the receiving system</w:t>
            </w:r>
          </w:p>
        </w:tc>
      </w:tr>
      <w:tr>
        <w:tc>
          <w:tcPr>
            <w:tcW w:type="dxa" w:w="9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T8</w:t>
            </w:r>
          </w:p>
        </w:tc>
        <w:tc>
          <w:tcPr>
            <w:tcW w:type="dxa" w:w="52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Switch a data set between notice and timed check</w:t>
            </w:r>
          </w:p>
        </w:tc>
        <w:tc>
          <w:tcPr>
            <w:tcW w:type="dxa" w:w="3300"/>
            <w:tcMar>
              <w:top w:type="dxa" w:w="60"/>
              <w:left w:type="dxa" w:w="90"/>
              <w:bottom w:type="dxa" w:w="60"/>
              <w:right w:type="dxa" w:w="90"/>
            </w:tcMar>
          </w:tcPr>
          <w:p>
            <w:pPr>
              <w:spacing w:after="0"/>
            </w:pPr>
            <w:r>
              <w:rPr>
                <w:rFonts w:ascii="Arial" w:cs="Arial" w:eastAsia="Arial" w:hAnsi="Arial"/>
                <w:b w:val="false"/>
                <w:bCs w:val="false"/>
                <w:color w:val="111111"/>
                <w:sz w:val="19"/>
                <w:szCs w:val="19"/>
              </w:rPr>
              <w:t xml:space="preserve">Configuration change only; deliveries continue; nothing rebuilt</w:t>
            </w:r>
          </w:p>
        </w:tc>
      </w:tr>
    </w:tbl>
    <w:p>
      <w:pPr>
        <w:pStyle w:val="Heading1"/>
        <w:spacing w:after="140" w:before="320"/>
      </w:pPr>
      <w:r>
        <w:rPr>
          <w:rFonts w:ascii="Arial" w:cs="Arial" w:eastAsia="Arial" w:hAnsi="Arial"/>
          <w:b/>
          <w:bCs/>
          <w:color w:val="1F3864"/>
          <w:sz w:val="30"/>
          <w:szCs w:val="30"/>
        </w:rPr>
        <w:t xml:space="preserve">15  Open items, with owners</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Exact event names per data set — confirm in the binding dialog (Rajesh).</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Timed-check schedule per data set — driven by JAMS operational needs (Trajce).</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JAMS service paths, login method and the six field lists — agreed before build (Trajce with the CPI team).</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ServiceNow import approach under Defence security rules; ITSM data need (Chamila).</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Sitetracker: needed this phase; owner to be named.</w:t>
      </w:r>
    </w:p>
    <w:p>
      <w:pPr>
        <w:pStyle w:val="ListParagraph"/>
        <w:numPr>
          <w:ilvl w:val="0"/>
          <w:numId w:val="2"/>
        </w:numPr>
        <w:spacing w:after="120"/>
      </w:pPr>
      <w:r>
        <w:rPr>
          <w:rFonts w:ascii="Arial" w:cs="Arial" w:eastAsia="Arial" w:hAnsi="Arial"/>
          <w:b w:val="false"/>
          <w:bCs w:val="false"/>
          <w:i w:val="false"/>
          <w:iCs w:val="false"/>
          <w:color w:val="111111"/>
          <w:sz w:val="21"/>
          <w:szCs w:val="21"/>
        </w:rPr>
        <w:t xml:space="preserve">Message-volume estimate against Integration Suite metering (Rajesh).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2026-08-07T03:32:28.971Z</dcterms:created>
  <dcterms:modified xsi:type="dcterms:W3CDTF">2026-08-07T03:32:28.972Z</dcterms:modified>
</cp:coreProperties>
</file>

<file path=docProps/custom.xml><?xml version="1.0" encoding="utf-8"?>
<Properties xmlns="http://schemas.openxmlformats.org/officeDocument/2006/custom-properties" xmlns:vt="http://schemas.openxmlformats.org/officeDocument/2006/docPropsVTypes"/>
</file>