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1390"/>
        <w:tblW w:w="13158" w:type="dxa"/>
        <w:tblLook w:val="04A0" w:firstRow="1" w:lastRow="0" w:firstColumn="1" w:lastColumn="0" w:noHBand="0" w:noVBand="1"/>
      </w:tblPr>
      <w:tblGrid>
        <w:gridCol w:w="2635"/>
        <w:gridCol w:w="2635"/>
        <w:gridCol w:w="2308"/>
        <w:gridCol w:w="1383"/>
        <w:gridCol w:w="4197"/>
      </w:tblGrid>
      <w:tr w:rsidR="00490AD8" w14:paraId="3A5F041B" w14:textId="77777777" w:rsidTr="00490AD8">
        <w:tc>
          <w:tcPr>
            <w:tcW w:w="2635" w:type="dxa"/>
            <w:shd w:val="clear" w:color="auto" w:fill="548DD4" w:themeFill="text2" w:themeFillTint="99"/>
          </w:tcPr>
          <w:p w14:paraId="3A5F0416" w14:textId="77777777" w:rsidR="00490AD8" w:rsidRPr="00490AD8" w:rsidRDefault="00490AD8" w:rsidP="00490AD8">
            <w:pPr>
              <w:jc w:val="center"/>
              <w:rPr>
                <w:b/>
                <w:sz w:val="24"/>
                <w:szCs w:val="24"/>
              </w:rPr>
            </w:pPr>
            <w:r w:rsidRPr="00490AD8">
              <w:rPr>
                <w:b/>
                <w:sz w:val="24"/>
                <w:szCs w:val="24"/>
              </w:rPr>
              <w:t>Control Frequency</w:t>
            </w:r>
          </w:p>
        </w:tc>
        <w:tc>
          <w:tcPr>
            <w:tcW w:w="2635" w:type="dxa"/>
            <w:shd w:val="clear" w:color="auto" w:fill="548DD4" w:themeFill="text2" w:themeFillTint="99"/>
          </w:tcPr>
          <w:p w14:paraId="3A5F0417" w14:textId="77777777" w:rsidR="00490AD8" w:rsidRPr="00490AD8" w:rsidRDefault="00490AD8" w:rsidP="00490AD8">
            <w:pPr>
              <w:jc w:val="center"/>
              <w:rPr>
                <w:b/>
                <w:sz w:val="24"/>
                <w:szCs w:val="24"/>
              </w:rPr>
            </w:pPr>
            <w:r w:rsidRPr="00490AD8">
              <w:rPr>
                <w:b/>
                <w:sz w:val="24"/>
                <w:szCs w:val="24"/>
              </w:rPr>
              <w:t>Q1/ Q2</w:t>
            </w:r>
          </w:p>
        </w:tc>
        <w:tc>
          <w:tcPr>
            <w:tcW w:w="2308" w:type="dxa"/>
            <w:shd w:val="clear" w:color="auto" w:fill="548DD4" w:themeFill="text2" w:themeFillTint="99"/>
          </w:tcPr>
          <w:p w14:paraId="3A5F0418" w14:textId="77777777" w:rsidR="00490AD8" w:rsidRPr="00490AD8" w:rsidRDefault="00490AD8" w:rsidP="00490AD8">
            <w:pPr>
              <w:jc w:val="center"/>
              <w:rPr>
                <w:b/>
                <w:sz w:val="24"/>
                <w:szCs w:val="24"/>
              </w:rPr>
            </w:pPr>
            <w:r w:rsidRPr="00490AD8">
              <w:rPr>
                <w:b/>
                <w:sz w:val="24"/>
                <w:szCs w:val="24"/>
              </w:rPr>
              <w:t>Q3</w:t>
            </w:r>
          </w:p>
        </w:tc>
        <w:tc>
          <w:tcPr>
            <w:tcW w:w="1383" w:type="dxa"/>
            <w:shd w:val="clear" w:color="auto" w:fill="548DD4" w:themeFill="text2" w:themeFillTint="99"/>
          </w:tcPr>
          <w:p w14:paraId="3A5F0419" w14:textId="77777777" w:rsidR="00490AD8" w:rsidRPr="00490AD8" w:rsidRDefault="00490AD8" w:rsidP="00490AD8">
            <w:pPr>
              <w:jc w:val="center"/>
              <w:rPr>
                <w:b/>
                <w:sz w:val="24"/>
                <w:szCs w:val="24"/>
              </w:rPr>
            </w:pPr>
            <w:r w:rsidRPr="00490AD8">
              <w:rPr>
                <w:b/>
                <w:sz w:val="24"/>
                <w:szCs w:val="24"/>
              </w:rPr>
              <w:t>Q4</w:t>
            </w:r>
          </w:p>
        </w:tc>
        <w:tc>
          <w:tcPr>
            <w:tcW w:w="4197" w:type="dxa"/>
            <w:shd w:val="clear" w:color="auto" w:fill="548DD4" w:themeFill="text2" w:themeFillTint="99"/>
          </w:tcPr>
          <w:p w14:paraId="3A5F041A" w14:textId="77777777" w:rsidR="00490AD8" w:rsidRPr="00490AD8" w:rsidRDefault="00490AD8" w:rsidP="00490AD8">
            <w:pPr>
              <w:jc w:val="center"/>
              <w:rPr>
                <w:b/>
                <w:sz w:val="24"/>
                <w:szCs w:val="24"/>
              </w:rPr>
            </w:pPr>
            <w:r w:rsidRPr="00490AD8">
              <w:rPr>
                <w:b/>
                <w:sz w:val="24"/>
                <w:szCs w:val="24"/>
              </w:rPr>
              <w:t>Q4 Testing and Guidance</w:t>
            </w:r>
          </w:p>
        </w:tc>
      </w:tr>
      <w:tr w:rsidR="00490AD8" w14:paraId="3A5F0424" w14:textId="77777777" w:rsidTr="00490AD8">
        <w:tc>
          <w:tcPr>
            <w:tcW w:w="2635" w:type="dxa"/>
          </w:tcPr>
          <w:p w14:paraId="3A5F041C" w14:textId="77777777" w:rsidR="00490AD8" w:rsidRDefault="00490AD8" w:rsidP="00490AD8">
            <w:pPr>
              <w:rPr>
                <w:b/>
              </w:rPr>
            </w:pPr>
            <w:r w:rsidRPr="00490AD8">
              <w:rPr>
                <w:b/>
              </w:rPr>
              <w:t>Quarterly</w:t>
            </w:r>
          </w:p>
          <w:p w14:paraId="3A5F041D" w14:textId="77777777" w:rsidR="00490AD8" w:rsidRPr="00490AD8" w:rsidRDefault="00490AD8" w:rsidP="00490AD8">
            <w:pPr>
              <w:rPr>
                <w:b/>
              </w:rPr>
            </w:pPr>
          </w:p>
          <w:p w14:paraId="3A5F041E" w14:textId="77777777" w:rsidR="00490AD8" w:rsidRPr="00490AD8" w:rsidRDefault="00490AD8" w:rsidP="00490AD8">
            <w:pPr>
              <w:rPr>
                <w:sz w:val="20"/>
                <w:szCs w:val="20"/>
              </w:rPr>
            </w:pPr>
            <w:r w:rsidRPr="00490AD8">
              <w:rPr>
                <w:sz w:val="20"/>
                <w:szCs w:val="20"/>
              </w:rPr>
              <w:t>(A total of 2 quarters will be tested for all quarterly controls)</w:t>
            </w:r>
          </w:p>
        </w:tc>
        <w:tc>
          <w:tcPr>
            <w:tcW w:w="2635" w:type="dxa"/>
          </w:tcPr>
          <w:p w14:paraId="3A5F041F" w14:textId="77777777" w:rsidR="00490AD8" w:rsidRDefault="005173D7" w:rsidP="00CC06F1">
            <w:r w:rsidRPr="005173D7">
              <w:rPr>
                <w:b/>
              </w:rPr>
              <w:t>Test Q1 or Q2</w:t>
            </w:r>
            <w:r>
              <w:t xml:space="preserve"> for all quarterly controls.</w:t>
            </w:r>
          </w:p>
        </w:tc>
        <w:tc>
          <w:tcPr>
            <w:tcW w:w="2308" w:type="dxa"/>
          </w:tcPr>
          <w:p w14:paraId="3A5F0420" w14:textId="77777777" w:rsidR="00490AD8" w:rsidRDefault="005173D7" w:rsidP="00490AD8">
            <w:r>
              <w:rPr>
                <w:b/>
              </w:rPr>
              <w:t xml:space="preserve">Test </w:t>
            </w:r>
            <w:r w:rsidR="00490AD8" w:rsidRPr="00490AD8">
              <w:rPr>
                <w:b/>
              </w:rPr>
              <w:t>Q3</w:t>
            </w:r>
            <w:r w:rsidR="00490AD8">
              <w:t xml:space="preserve"> for all quarterly controls</w:t>
            </w:r>
            <w:r>
              <w:t>.</w:t>
            </w:r>
            <w:r w:rsidR="00490AD8">
              <w:t xml:space="preserve"> </w:t>
            </w:r>
          </w:p>
        </w:tc>
        <w:tc>
          <w:tcPr>
            <w:tcW w:w="1383" w:type="dxa"/>
          </w:tcPr>
          <w:p w14:paraId="3A5F0421" w14:textId="77777777" w:rsidR="00490AD8" w:rsidRDefault="00490AD8" w:rsidP="00490AD8">
            <w:r>
              <w:t>See Note</w:t>
            </w:r>
          </w:p>
        </w:tc>
        <w:tc>
          <w:tcPr>
            <w:tcW w:w="4197" w:type="dxa"/>
          </w:tcPr>
          <w:p w14:paraId="3A5F0422" w14:textId="77777777" w:rsidR="00BD5FD0" w:rsidRDefault="005173D7" w:rsidP="00490AD8">
            <w:r w:rsidRPr="005173D7">
              <w:rPr>
                <w:b/>
                <w:u w:val="single"/>
              </w:rPr>
              <w:t>NOTE:</w:t>
            </w:r>
            <w:r>
              <w:t xml:space="preserve"> </w:t>
            </w:r>
            <w:r w:rsidR="00BD5FD0">
              <w:t xml:space="preserve">For </w:t>
            </w:r>
            <w:r w:rsidR="00BC0684">
              <w:t xml:space="preserve">all </w:t>
            </w:r>
            <w:r w:rsidR="00BD5FD0">
              <w:t>high risk control</w:t>
            </w:r>
            <w:r w:rsidR="00A90AF5">
              <w:t>s</w:t>
            </w:r>
            <w:r w:rsidR="00BD5FD0">
              <w:t xml:space="preserve"> </w:t>
            </w:r>
            <w:r w:rsidR="00BE194B">
              <w:t>in addition to obtaining the standard roll forward attestation questionnaires a detailed inspection should be performed which includes obtaining evidence of the control performance and reviewing it for reasonableness.</w:t>
            </w:r>
          </w:p>
          <w:p w14:paraId="3A5F0423" w14:textId="77777777" w:rsidR="00490AD8" w:rsidRDefault="00490AD8" w:rsidP="00490AD8"/>
        </w:tc>
      </w:tr>
      <w:tr w:rsidR="00490AD8" w14:paraId="3A5F042F" w14:textId="77777777" w:rsidTr="00687E63">
        <w:tc>
          <w:tcPr>
            <w:tcW w:w="2635" w:type="dxa"/>
            <w:shd w:val="clear" w:color="auto" w:fill="DBE5F1" w:themeFill="accent1" w:themeFillTint="33"/>
          </w:tcPr>
          <w:p w14:paraId="3A5F0425" w14:textId="77777777" w:rsidR="00490AD8" w:rsidRPr="005B1A4F" w:rsidRDefault="00490AD8" w:rsidP="00490AD8">
            <w:pPr>
              <w:rPr>
                <w:b/>
              </w:rPr>
            </w:pPr>
            <w:r w:rsidRPr="005B1A4F">
              <w:rPr>
                <w:b/>
              </w:rPr>
              <w:t>Monthly</w:t>
            </w:r>
          </w:p>
        </w:tc>
        <w:tc>
          <w:tcPr>
            <w:tcW w:w="2635" w:type="dxa"/>
            <w:shd w:val="clear" w:color="auto" w:fill="DBE5F1" w:themeFill="accent1" w:themeFillTint="33"/>
          </w:tcPr>
          <w:p w14:paraId="3A5F0426" w14:textId="77777777" w:rsidR="00490AD8" w:rsidRDefault="00490AD8" w:rsidP="00490AD8">
            <w:pPr>
              <w:jc w:val="center"/>
            </w:pPr>
            <w:r>
              <w:t>75%</w:t>
            </w:r>
          </w:p>
        </w:tc>
        <w:tc>
          <w:tcPr>
            <w:tcW w:w="2308" w:type="dxa"/>
            <w:shd w:val="clear" w:color="auto" w:fill="DBE5F1" w:themeFill="accent1" w:themeFillTint="33"/>
          </w:tcPr>
          <w:p w14:paraId="3A5F0427" w14:textId="77777777" w:rsidR="00490AD8" w:rsidRDefault="00490AD8" w:rsidP="00490AD8">
            <w:pPr>
              <w:jc w:val="center"/>
            </w:pPr>
            <w:r>
              <w:t>25%</w:t>
            </w:r>
          </w:p>
        </w:tc>
        <w:tc>
          <w:tcPr>
            <w:tcW w:w="1383" w:type="dxa"/>
            <w:shd w:val="clear" w:color="auto" w:fill="DBE5F1" w:themeFill="accent1" w:themeFillTint="33"/>
          </w:tcPr>
          <w:p w14:paraId="3A5F0428" w14:textId="77777777" w:rsidR="00490AD8" w:rsidRDefault="00490AD8" w:rsidP="00490AD8">
            <w:pPr>
              <w:jc w:val="center"/>
            </w:pPr>
            <w:r>
              <w:t>(a)</w:t>
            </w:r>
          </w:p>
        </w:tc>
        <w:tc>
          <w:tcPr>
            <w:tcW w:w="4197" w:type="dxa"/>
            <w:vMerge w:val="restart"/>
          </w:tcPr>
          <w:p w14:paraId="3A5F0429" w14:textId="77777777" w:rsidR="00490AD8" w:rsidRDefault="00490AD8" w:rsidP="00490AD8">
            <w:pPr>
              <w:jc w:val="center"/>
              <w:rPr>
                <w:b/>
              </w:rPr>
            </w:pPr>
            <w:r w:rsidRPr="00490AD8">
              <w:rPr>
                <w:b/>
              </w:rPr>
              <w:t>(a)</w:t>
            </w:r>
          </w:p>
          <w:p w14:paraId="3A5F042A" w14:textId="77777777" w:rsidR="00490AD8" w:rsidRDefault="00490AD8" w:rsidP="00490AD8">
            <w:r w:rsidRPr="00687E63">
              <w:rPr>
                <w:b/>
              </w:rPr>
              <w:t>Low Risk</w:t>
            </w:r>
            <w:r>
              <w:t>: Perform rotational testing for Q4 controls</w:t>
            </w:r>
            <w:r w:rsidR="00687E63">
              <w:t>.</w:t>
            </w:r>
          </w:p>
          <w:p w14:paraId="3A5F042B" w14:textId="77777777" w:rsidR="00490AD8" w:rsidRDefault="00490AD8" w:rsidP="00490AD8">
            <w:r w:rsidRPr="00687E63">
              <w:rPr>
                <w:b/>
              </w:rPr>
              <w:t>Medium Risk</w:t>
            </w:r>
            <w:r>
              <w:t>: Save 5% of the original sample size to test in Q4</w:t>
            </w:r>
            <w:r w:rsidR="00687E63">
              <w:t>.</w:t>
            </w:r>
          </w:p>
          <w:p w14:paraId="3A5F042C" w14:textId="77777777" w:rsidR="00490AD8" w:rsidRDefault="00490AD8" w:rsidP="00490AD8">
            <w:r w:rsidRPr="00687E63">
              <w:rPr>
                <w:b/>
              </w:rPr>
              <w:t>High Risk:</w:t>
            </w:r>
            <w:r>
              <w:t xml:space="preserve"> Save 10% of the original sample size to test in Q4</w:t>
            </w:r>
            <w:r w:rsidR="00687E63">
              <w:t>.</w:t>
            </w:r>
          </w:p>
          <w:p w14:paraId="3A5F042D" w14:textId="77777777" w:rsidR="00687E63" w:rsidRDefault="00687E63" w:rsidP="00490AD8"/>
          <w:p w14:paraId="3A5F042E" w14:textId="77777777" w:rsidR="00687E63" w:rsidRPr="00490AD8" w:rsidRDefault="00687E63" w:rsidP="00490AD8">
            <w:r>
              <w:t>For all controls not subject to Q4 testing, roll forward procedures will consist of validating controls with the process owner to confirm that there have not been changes to the control after the Q3 testing was performed.  Results should be documented in FCM.</w:t>
            </w:r>
          </w:p>
        </w:tc>
      </w:tr>
      <w:tr w:rsidR="00490AD8" w14:paraId="3A5F0435" w14:textId="77777777" w:rsidTr="00490AD8">
        <w:tc>
          <w:tcPr>
            <w:tcW w:w="2635" w:type="dxa"/>
          </w:tcPr>
          <w:p w14:paraId="3A5F0430" w14:textId="77777777" w:rsidR="00490AD8" w:rsidRPr="005B1A4F" w:rsidRDefault="00490AD8" w:rsidP="00490AD8">
            <w:pPr>
              <w:rPr>
                <w:b/>
              </w:rPr>
            </w:pPr>
            <w:r w:rsidRPr="005B1A4F">
              <w:rPr>
                <w:b/>
              </w:rPr>
              <w:t>Weekly</w:t>
            </w:r>
          </w:p>
        </w:tc>
        <w:tc>
          <w:tcPr>
            <w:tcW w:w="2635" w:type="dxa"/>
          </w:tcPr>
          <w:p w14:paraId="3A5F0431" w14:textId="77777777" w:rsidR="00490AD8" w:rsidRDefault="00490AD8" w:rsidP="00490AD8">
            <w:pPr>
              <w:jc w:val="center"/>
            </w:pPr>
            <w:r>
              <w:t>75%</w:t>
            </w:r>
          </w:p>
        </w:tc>
        <w:tc>
          <w:tcPr>
            <w:tcW w:w="2308" w:type="dxa"/>
          </w:tcPr>
          <w:p w14:paraId="3A5F0432" w14:textId="77777777" w:rsidR="00490AD8" w:rsidRDefault="00490AD8" w:rsidP="00490AD8">
            <w:pPr>
              <w:jc w:val="center"/>
            </w:pPr>
            <w:r>
              <w:t>25%</w:t>
            </w:r>
          </w:p>
        </w:tc>
        <w:tc>
          <w:tcPr>
            <w:tcW w:w="1383" w:type="dxa"/>
          </w:tcPr>
          <w:p w14:paraId="3A5F0433" w14:textId="77777777" w:rsidR="00490AD8" w:rsidRDefault="00490AD8" w:rsidP="00490AD8">
            <w:pPr>
              <w:jc w:val="center"/>
            </w:pPr>
            <w:r w:rsidRPr="00363FF1">
              <w:t>(a)</w:t>
            </w:r>
          </w:p>
        </w:tc>
        <w:tc>
          <w:tcPr>
            <w:tcW w:w="4197" w:type="dxa"/>
            <w:vMerge/>
          </w:tcPr>
          <w:p w14:paraId="3A5F0434" w14:textId="77777777" w:rsidR="00490AD8" w:rsidRDefault="00490AD8" w:rsidP="00490AD8"/>
        </w:tc>
      </w:tr>
      <w:tr w:rsidR="00687E63" w14:paraId="3A5F043B" w14:textId="77777777" w:rsidTr="00687E63">
        <w:tc>
          <w:tcPr>
            <w:tcW w:w="2635" w:type="dxa"/>
            <w:shd w:val="clear" w:color="auto" w:fill="DBE5F1" w:themeFill="accent1" w:themeFillTint="33"/>
          </w:tcPr>
          <w:p w14:paraId="3A5F0436" w14:textId="77777777" w:rsidR="00687E63" w:rsidRPr="005B1A4F" w:rsidRDefault="00687E63" w:rsidP="00687E63">
            <w:pPr>
              <w:rPr>
                <w:b/>
              </w:rPr>
            </w:pPr>
            <w:r w:rsidRPr="005B1A4F">
              <w:rPr>
                <w:b/>
              </w:rPr>
              <w:t>Daily</w:t>
            </w:r>
          </w:p>
        </w:tc>
        <w:tc>
          <w:tcPr>
            <w:tcW w:w="2635" w:type="dxa"/>
            <w:shd w:val="clear" w:color="auto" w:fill="DBE5F1" w:themeFill="accent1" w:themeFillTint="33"/>
          </w:tcPr>
          <w:p w14:paraId="3A5F0437" w14:textId="77777777" w:rsidR="00687E63" w:rsidRDefault="00687E63" w:rsidP="00687E63">
            <w:pPr>
              <w:jc w:val="center"/>
            </w:pPr>
            <w:r>
              <w:t>75%</w:t>
            </w:r>
          </w:p>
        </w:tc>
        <w:tc>
          <w:tcPr>
            <w:tcW w:w="2308" w:type="dxa"/>
            <w:shd w:val="clear" w:color="auto" w:fill="DBE5F1" w:themeFill="accent1" w:themeFillTint="33"/>
          </w:tcPr>
          <w:p w14:paraId="3A5F0438" w14:textId="77777777" w:rsidR="00687E63" w:rsidRDefault="00687E63" w:rsidP="00687E63">
            <w:pPr>
              <w:jc w:val="center"/>
            </w:pPr>
            <w:r>
              <w:t>25%</w:t>
            </w:r>
          </w:p>
        </w:tc>
        <w:tc>
          <w:tcPr>
            <w:tcW w:w="1383" w:type="dxa"/>
            <w:shd w:val="clear" w:color="auto" w:fill="DBE5F1" w:themeFill="accent1" w:themeFillTint="33"/>
          </w:tcPr>
          <w:p w14:paraId="3A5F0439" w14:textId="77777777" w:rsidR="00687E63" w:rsidRDefault="00687E63" w:rsidP="00687E63">
            <w:pPr>
              <w:jc w:val="center"/>
            </w:pPr>
            <w:r w:rsidRPr="00363FF1">
              <w:t>(a)</w:t>
            </w:r>
          </w:p>
        </w:tc>
        <w:tc>
          <w:tcPr>
            <w:tcW w:w="4197" w:type="dxa"/>
            <w:vMerge/>
          </w:tcPr>
          <w:p w14:paraId="3A5F043A" w14:textId="77777777" w:rsidR="00687E63" w:rsidRDefault="00687E63" w:rsidP="00687E63"/>
        </w:tc>
      </w:tr>
      <w:tr w:rsidR="00687E63" w14:paraId="3A5F0441" w14:textId="77777777" w:rsidTr="00490AD8">
        <w:tc>
          <w:tcPr>
            <w:tcW w:w="2635" w:type="dxa"/>
          </w:tcPr>
          <w:p w14:paraId="3A5F043C" w14:textId="77777777" w:rsidR="00687E63" w:rsidRPr="005B1A4F" w:rsidRDefault="00687E63" w:rsidP="00687E63">
            <w:pPr>
              <w:rPr>
                <w:b/>
              </w:rPr>
            </w:pPr>
            <w:r w:rsidRPr="005B1A4F">
              <w:rPr>
                <w:b/>
              </w:rPr>
              <w:t>Multiple Times a Day</w:t>
            </w:r>
          </w:p>
        </w:tc>
        <w:tc>
          <w:tcPr>
            <w:tcW w:w="2635" w:type="dxa"/>
          </w:tcPr>
          <w:p w14:paraId="3A5F043D" w14:textId="77777777" w:rsidR="00687E63" w:rsidRDefault="00687E63" w:rsidP="00687E63">
            <w:pPr>
              <w:jc w:val="center"/>
            </w:pPr>
            <w:r>
              <w:t>75%</w:t>
            </w:r>
          </w:p>
        </w:tc>
        <w:tc>
          <w:tcPr>
            <w:tcW w:w="2308" w:type="dxa"/>
          </w:tcPr>
          <w:p w14:paraId="3A5F043E" w14:textId="77777777" w:rsidR="00687E63" w:rsidRDefault="00687E63" w:rsidP="00687E63">
            <w:pPr>
              <w:jc w:val="center"/>
            </w:pPr>
            <w:r>
              <w:t>25%</w:t>
            </w:r>
          </w:p>
        </w:tc>
        <w:tc>
          <w:tcPr>
            <w:tcW w:w="1383" w:type="dxa"/>
          </w:tcPr>
          <w:p w14:paraId="3A5F043F" w14:textId="77777777" w:rsidR="00687E63" w:rsidRDefault="00687E63" w:rsidP="00687E63">
            <w:pPr>
              <w:jc w:val="center"/>
            </w:pPr>
            <w:r w:rsidRPr="00363FF1">
              <w:t>(a)</w:t>
            </w:r>
          </w:p>
        </w:tc>
        <w:tc>
          <w:tcPr>
            <w:tcW w:w="4197" w:type="dxa"/>
            <w:vMerge/>
          </w:tcPr>
          <w:p w14:paraId="3A5F0440" w14:textId="77777777" w:rsidR="00687E63" w:rsidRDefault="00687E63" w:rsidP="00687E63"/>
        </w:tc>
      </w:tr>
      <w:tr w:rsidR="00687E63" w14:paraId="3A5F0447" w14:textId="77777777" w:rsidTr="00687E63">
        <w:tc>
          <w:tcPr>
            <w:tcW w:w="2635" w:type="dxa"/>
            <w:shd w:val="clear" w:color="auto" w:fill="DBE5F1" w:themeFill="accent1" w:themeFillTint="33"/>
          </w:tcPr>
          <w:p w14:paraId="3A5F0442" w14:textId="77777777" w:rsidR="00687E63" w:rsidRPr="005B1A4F" w:rsidRDefault="00687E63" w:rsidP="00687E63">
            <w:pPr>
              <w:rPr>
                <w:b/>
              </w:rPr>
            </w:pPr>
            <w:r w:rsidRPr="005B1A4F">
              <w:rPr>
                <w:b/>
              </w:rPr>
              <w:t>Automated Controls</w:t>
            </w:r>
          </w:p>
        </w:tc>
        <w:tc>
          <w:tcPr>
            <w:tcW w:w="2635" w:type="dxa"/>
            <w:shd w:val="clear" w:color="auto" w:fill="DBE5F1" w:themeFill="accent1" w:themeFillTint="33"/>
          </w:tcPr>
          <w:p w14:paraId="3A5F0443" w14:textId="77777777" w:rsidR="00687E63" w:rsidRDefault="00687E63" w:rsidP="00687E63">
            <w:pPr>
              <w:jc w:val="center"/>
            </w:pPr>
            <w:r>
              <w:t>***</w:t>
            </w:r>
          </w:p>
        </w:tc>
        <w:tc>
          <w:tcPr>
            <w:tcW w:w="2308" w:type="dxa"/>
            <w:shd w:val="clear" w:color="auto" w:fill="DBE5F1" w:themeFill="accent1" w:themeFillTint="33"/>
          </w:tcPr>
          <w:p w14:paraId="3A5F0444" w14:textId="77777777" w:rsidR="00687E63" w:rsidRDefault="00687E63" w:rsidP="00687E63">
            <w:pPr>
              <w:jc w:val="center"/>
            </w:pPr>
            <w:r>
              <w:t>***</w:t>
            </w:r>
          </w:p>
        </w:tc>
        <w:tc>
          <w:tcPr>
            <w:tcW w:w="1383" w:type="dxa"/>
            <w:shd w:val="clear" w:color="auto" w:fill="DBE5F1" w:themeFill="accent1" w:themeFillTint="33"/>
          </w:tcPr>
          <w:p w14:paraId="3A5F0445" w14:textId="77777777" w:rsidR="00687E63" w:rsidRDefault="00687E63" w:rsidP="00687E63">
            <w:pPr>
              <w:jc w:val="center"/>
            </w:pPr>
            <w:r>
              <w:t>***</w:t>
            </w:r>
          </w:p>
        </w:tc>
        <w:tc>
          <w:tcPr>
            <w:tcW w:w="4197" w:type="dxa"/>
          </w:tcPr>
          <w:p w14:paraId="3A5F0446" w14:textId="77777777" w:rsidR="00687E63" w:rsidRDefault="00687E63" w:rsidP="00687E63">
            <w:r>
              <w:t>Automated Controls – tests can be performed in Q1, Q2 or Q3</w:t>
            </w:r>
          </w:p>
        </w:tc>
      </w:tr>
    </w:tbl>
    <w:p w14:paraId="3A5F0448" w14:textId="210C4D09" w:rsidR="00687E63" w:rsidRPr="00F24969" w:rsidRDefault="00021354" w:rsidP="00687E63">
      <w:pPr>
        <w:jc w:val="center"/>
        <w:rPr>
          <w:rFonts w:ascii="Arial" w:hAnsi="Arial" w:cs="Arial"/>
          <w:sz w:val="52"/>
          <w:szCs w:val="52"/>
          <w:u w:val="single"/>
        </w:rPr>
      </w:pPr>
      <w:proofErr w:type="gramStart"/>
      <w:r>
        <w:rPr>
          <w:rFonts w:ascii="Arial" w:hAnsi="Arial" w:cs="Arial"/>
          <w:sz w:val="52"/>
          <w:szCs w:val="52"/>
          <w:u w:val="single"/>
        </w:rPr>
        <w:t>ABC</w:t>
      </w:r>
      <w:r w:rsidR="00F24969" w:rsidRPr="00F24969">
        <w:rPr>
          <w:rFonts w:ascii="Arial" w:hAnsi="Arial" w:cs="Arial"/>
          <w:sz w:val="52"/>
          <w:szCs w:val="52"/>
          <w:u w:val="single"/>
        </w:rPr>
        <w:t xml:space="preserve">  SOX</w:t>
      </w:r>
      <w:proofErr w:type="gramEnd"/>
      <w:r w:rsidR="00F24969" w:rsidRPr="00F24969">
        <w:rPr>
          <w:rFonts w:ascii="Arial" w:hAnsi="Arial" w:cs="Arial"/>
          <w:sz w:val="52"/>
          <w:szCs w:val="52"/>
          <w:u w:val="single"/>
        </w:rPr>
        <w:t xml:space="preserve"> TESTING GUIDANCE</w:t>
      </w:r>
    </w:p>
    <w:p w14:paraId="3A5F0449" w14:textId="77777777" w:rsidR="00362B4A" w:rsidRDefault="00362B4A" w:rsidP="00490AD8"/>
    <w:p w14:paraId="3A5F044A" w14:textId="77777777" w:rsidR="00687E63" w:rsidRDefault="00687E63" w:rsidP="00490AD8"/>
    <w:p w14:paraId="3A5F044B" w14:textId="77777777" w:rsidR="00687E63" w:rsidRDefault="00687E63" w:rsidP="00490AD8"/>
    <w:p w14:paraId="3A5F044C" w14:textId="77777777" w:rsidR="00687E63" w:rsidRPr="00687E63" w:rsidRDefault="00687E63" w:rsidP="00687E63">
      <w:pPr>
        <w:jc w:val="center"/>
        <w:rPr>
          <w:rFonts w:ascii="Arial" w:hAnsi="Arial" w:cs="Arial"/>
          <w:sz w:val="52"/>
          <w:szCs w:val="52"/>
        </w:rPr>
      </w:pPr>
      <w:r w:rsidRPr="00687E63">
        <w:rPr>
          <w:rFonts w:ascii="Arial" w:hAnsi="Arial" w:cs="Arial"/>
          <w:sz w:val="52"/>
          <w:szCs w:val="52"/>
        </w:rPr>
        <w:t>SOX Sampling Guidance</w:t>
      </w:r>
    </w:p>
    <w:p w14:paraId="3A5F044D" w14:textId="77777777" w:rsidR="00687E63" w:rsidRDefault="00021354" w:rsidP="00687E63">
      <w:r>
        <w:rPr>
          <w:noProof/>
        </w:rPr>
        <w:object w:dxaOrig="1440" w:dyaOrig="1440" w14:anchorId="3A5F0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s1026" type="#_x0000_t75" style="position:absolute;margin-left:43.5pt;margin-top:5.75pt;width:536.7pt;height:205.05pt;z-index:251660288" fillcolor="#0073ae">
            <v:fill color2="#00a4e4"/>
            <v:imagedata r:id="rId7" o:title=""/>
            <v:shadow color="#fdb913"/>
          </v:shape>
          <o:OLEObject Type="Embed" ProgID="Excel.Sheet.12" ShapeID="Object 1" DrawAspect="Content" ObjectID="_1838374789" r:id="rId8"/>
        </w:object>
      </w:r>
    </w:p>
    <w:p w14:paraId="3A5F044E" w14:textId="77777777" w:rsidR="00687E63" w:rsidRPr="00305D2A" w:rsidRDefault="00687E63" w:rsidP="00687E63"/>
    <w:p w14:paraId="3A5F044F" w14:textId="77777777" w:rsidR="00687E63" w:rsidRPr="00305D2A" w:rsidRDefault="00687E63" w:rsidP="00687E63"/>
    <w:p w14:paraId="3A5F0450" w14:textId="77777777" w:rsidR="00687E63" w:rsidRPr="00305D2A" w:rsidRDefault="00687E63" w:rsidP="00687E63"/>
    <w:p w14:paraId="3A5F0451" w14:textId="77777777" w:rsidR="00687E63" w:rsidRPr="00305D2A" w:rsidRDefault="00687E63" w:rsidP="00687E63"/>
    <w:p w14:paraId="3A5F0452" w14:textId="77777777" w:rsidR="00687E63" w:rsidRPr="00305D2A" w:rsidRDefault="00687E63" w:rsidP="00687E63"/>
    <w:p w14:paraId="3A5F0453" w14:textId="77777777" w:rsidR="00687E63" w:rsidRPr="00305D2A" w:rsidRDefault="00687E63" w:rsidP="00687E63"/>
    <w:p w14:paraId="3A5F0454" w14:textId="77777777" w:rsidR="00687E63" w:rsidRDefault="00687E63" w:rsidP="00687E63"/>
    <w:p w14:paraId="3A5F0455" w14:textId="77777777" w:rsidR="00687E63" w:rsidRDefault="00687E63" w:rsidP="00687E63">
      <w:pPr>
        <w:tabs>
          <w:tab w:val="left" w:pos="11989"/>
        </w:tabs>
      </w:pPr>
    </w:p>
    <w:p w14:paraId="3A5F0456" w14:textId="77777777" w:rsidR="00687E63" w:rsidRPr="001E1217" w:rsidRDefault="00687E63" w:rsidP="00687E63">
      <w:pPr>
        <w:spacing w:before="100" w:beforeAutospacing="1" w:after="100" w:afterAutospacing="1"/>
        <w:rPr>
          <w:color w:val="000000"/>
          <w:sz w:val="16"/>
          <w:szCs w:val="16"/>
        </w:rPr>
      </w:pPr>
      <w:r w:rsidRPr="001E1217">
        <w:rPr>
          <w:color w:val="000000"/>
          <w:sz w:val="16"/>
          <w:szCs w:val="16"/>
        </w:rPr>
        <w:t>Note 1: The ranges in the table above are based on the population of individual instances where the control is expected to operate. With the exception of multiple times a day, the ranges assume the control being tested operates in only one instance in each of the applicable periods, e.g., once annually, once quarterly. A testing range of 2 to 5 for a monthly control is based on our judgment as to an appropriate range for a control with a population of 12. Similarly, the range for testing of a daily control (i.e., 20-30-40) assumes a population of roughly 250, and the range for testing a control operating multiple times a day (i.e., 25-45-60) assumes a large population, effectively a population over 250. In fact, the multiple times a day ranges apply to any large population, no matter how large, e.g. whether 300 or 3000.</w:t>
      </w:r>
    </w:p>
    <w:p w14:paraId="3A5F0457" w14:textId="77777777" w:rsidR="00687E63" w:rsidRPr="001E1217" w:rsidRDefault="00687E63" w:rsidP="00687E63">
      <w:pPr>
        <w:spacing w:before="100" w:beforeAutospacing="1" w:after="100" w:afterAutospacing="1"/>
        <w:rPr>
          <w:color w:val="000000"/>
          <w:sz w:val="16"/>
          <w:szCs w:val="16"/>
        </w:rPr>
      </w:pPr>
      <w:r w:rsidRPr="001E1217">
        <w:rPr>
          <w:color w:val="000000"/>
          <w:sz w:val="16"/>
          <w:szCs w:val="16"/>
        </w:rPr>
        <w:t xml:space="preserve">When we have more than one instance, the assumed number of control occurrence column will be more helpful than the frequency of control. This column can also be used as a reference when we do not know the frequency, but we do know the number of occurrences during the period under review. </w:t>
      </w:r>
    </w:p>
    <w:p w14:paraId="3A5F0458" w14:textId="77777777" w:rsidR="00687E63" w:rsidRPr="001E1217" w:rsidRDefault="00687E63" w:rsidP="00687E63">
      <w:pPr>
        <w:spacing w:before="100" w:beforeAutospacing="1" w:after="100" w:afterAutospacing="1"/>
        <w:rPr>
          <w:color w:val="000000"/>
          <w:sz w:val="16"/>
          <w:szCs w:val="16"/>
        </w:rPr>
      </w:pPr>
      <w:r w:rsidRPr="001E1217">
        <w:rPr>
          <w:color w:val="000000"/>
          <w:sz w:val="16"/>
          <w:szCs w:val="16"/>
        </w:rPr>
        <w:t xml:space="preserve">Note 2: Refers to the number of occurrences of the control and will ordinarily be applied to tests involving re-performance and/or examination of evidence, although there may be circumstances when examination at these levels is not necessary. The table can also be applied to observation but in this case we should use judgment to determine how much evidence is enough to conclude on the operation of the controls. </w:t>
      </w:r>
    </w:p>
    <w:p w14:paraId="3A5F0459" w14:textId="77777777" w:rsidR="00687E63" w:rsidRPr="00490AD8" w:rsidRDefault="00687E63" w:rsidP="00687E63">
      <w:pPr>
        <w:spacing w:before="100" w:beforeAutospacing="1" w:after="100" w:afterAutospacing="1"/>
      </w:pPr>
      <w:r w:rsidRPr="001E1217">
        <w:rPr>
          <w:color w:val="000000"/>
          <w:sz w:val="16"/>
          <w:szCs w:val="16"/>
        </w:rPr>
        <w:lastRenderedPageBreak/>
        <w:t>Often the sample size at the low end of the range will provide us with sufficient evidence to conclude that a control is operating effectively assuming no exceptions. In some situations (as explained above) we would need to test more than this. Testing more items may be necessary as we consider the factors noted above. For example, if the risk is such that we require more evidence to conclude that a manual control performed multiple times per day is operating effectively, we may need to test a larger population.</w:t>
      </w:r>
    </w:p>
    <w:sectPr w:rsidR="00687E63" w:rsidRPr="00490AD8" w:rsidSect="0096748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62B4A"/>
    <w:rsid w:val="00021354"/>
    <w:rsid w:val="0002193D"/>
    <w:rsid w:val="001C12FE"/>
    <w:rsid w:val="001D3BAB"/>
    <w:rsid w:val="00362B4A"/>
    <w:rsid w:val="003940F3"/>
    <w:rsid w:val="00490AD8"/>
    <w:rsid w:val="005173D7"/>
    <w:rsid w:val="00520FC6"/>
    <w:rsid w:val="005B1A4F"/>
    <w:rsid w:val="005F4CD4"/>
    <w:rsid w:val="00687E63"/>
    <w:rsid w:val="006D2B34"/>
    <w:rsid w:val="00705844"/>
    <w:rsid w:val="00967481"/>
    <w:rsid w:val="00A32760"/>
    <w:rsid w:val="00A72686"/>
    <w:rsid w:val="00A90AF5"/>
    <w:rsid w:val="00B76937"/>
    <w:rsid w:val="00BC0684"/>
    <w:rsid w:val="00BD5FD0"/>
    <w:rsid w:val="00BE194B"/>
    <w:rsid w:val="00C7456C"/>
    <w:rsid w:val="00CC06F1"/>
    <w:rsid w:val="00CC0A5D"/>
    <w:rsid w:val="00E42F80"/>
    <w:rsid w:val="00F24969"/>
    <w:rsid w:val="00FD6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5F0416"/>
  <w15:docId w15:val="{07F36A40-D0ED-4D73-96E8-F8A9CC78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6748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4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customXml" Target="../customXml/item3.xml"/><Relationship Id="rId7"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5B95F220511F44AFC5A3A68E4F8CAE" ma:contentTypeVersion="0" ma:contentTypeDescription="Create a new document." ma:contentTypeScope="" ma:versionID="1709bed6fca6dbdc997ad9a4be6b35cc">
  <xsd:schema xmlns:xsd="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13E518D-9510-4060-8175-701FA70E2EB5}">
  <ds:schemaRefs>
    <ds:schemaRef ds:uri="http://schemas.microsoft.com/office/2006/documentManagement/types"/>
    <ds:schemaRef ds:uri="http://purl.org/dc/elements/1.1/"/>
    <ds:schemaRef ds:uri="http://purl.org/dc/terms/"/>
    <ds:schemaRef ds:uri="http://purl.org/dc/dcmitype/"/>
    <ds:schemaRef ds:uri="http://www.w3.org/XML/1998/namespace"/>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18ABB7E8-DA7F-44BD-B5B4-CBF36FE473E3}">
  <ds:schemaRefs>
    <ds:schemaRef ds:uri="http://schemas.microsoft.com/sharepoint/v3/contenttype/forms"/>
  </ds:schemaRefs>
</ds:datastoreItem>
</file>

<file path=customXml/itemProps3.xml><?xml version="1.0" encoding="utf-8"?>
<ds:datastoreItem xmlns:ds="http://schemas.openxmlformats.org/officeDocument/2006/customXml" ds:itemID="{5E720915-702E-4BBA-A06C-C8422A2A5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554</Words>
  <Characters>2672</Characters>
  <Application>Microsoft Office Word</Application>
  <DocSecurity>0</DocSecurity>
  <Lines>92</Lines>
  <Paragraphs>52</Paragraphs>
  <ScaleCrop>false</ScaleCrop>
  <HeadingPairs>
    <vt:vector size="2" baseType="variant">
      <vt:variant>
        <vt:lpstr>Title</vt:lpstr>
      </vt:variant>
      <vt:variant>
        <vt:i4>1</vt:i4>
      </vt:variant>
    </vt:vector>
  </HeadingPairs>
  <TitlesOfParts>
    <vt:vector size="1" baseType="lpstr">
      <vt:lpstr/>
    </vt:vector>
  </TitlesOfParts>
  <Company>Chartis</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gwise</dc:creator>
  <cp:keywords/>
  <dc:description/>
  <cp:lastModifiedBy>Rajesh Dua</cp:lastModifiedBy>
  <cp:revision>5</cp:revision>
  <dcterms:created xsi:type="dcterms:W3CDTF">2014-03-19T18:15:00Z</dcterms:created>
  <dcterms:modified xsi:type="dcterms:W3CDTF">2026-04-22T18:53:00Z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0x010100645B95F220511F44AFC5A3A68E4F8CAE</vt:lpwstr>
  </property>
</Properties>
</file>