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 xml:space="preserve">Кому: </w:t>
      </w:r>
      <w:r>
        <w:rPr>
          <w:b w:val="0"/>
        </w:rPr>
        <w:t>info@1-ofd.ru</w:t>
      </w:r>
    </w:p>
    <w:p>
      <w:pPr>
        <w:spacing w:after="80"/>
      </w:pPr>
      <w:r>
        <w:rPr>
          <w:b/>
        </w:rPr>
        <w:t xml:space="preserve">Тема: </w:t>
      </w:r>
      <w:r>
        <w:rPr>
          <w:b w:val="0"/>
        </w:rPr>
        <w:t>Получение доступа к API для сверки — ООО «МАВ», ИНН 9729385147</w:t>
      </w:r>
    </w:p>
    <w:p>
      <w:pPr>
        <w:spacing w:after="200"/>
        <w:pBdr>
          <w:bottom w:val="single" w:sz="6" w:space="1" w:color="999999"/>
        </w:pBdr>
      </w:pPr>
    </w:p>
    <w:p>
      <w:pPr>
        <w:spacing w:after="120"/>
      </w:pPr>
      <w:r>
        <w:rPr>
          <w:b w:val="0"/>
          <w:sz w:val="22"/>
        </w:rPr>
        <w:t>Здравствуйте!</w:t>
      </w:r>
    </w:p>
    <w:p>
      <w:pPr>
        <w:spacing w:after="120"/>
      </w:pPr>
      <w:r>
        <w:rPr>
          <w:b w:val="0"/>
          <w:sz w:val="22"/>
        </w:rPr>
        <w:t>Пишем от лица ООО «МАВ» (ресторан «Барвиха Лаунж Невский», Санкт-Петербург). Мы ваш клиент, наша касса подключена к Первому ОФД.</w:t>
      </w:r>
    </w:p>
    <w:p>
      <w:pPr>
        <w:spacing w:after="120"/>
      </w:pPr>
      <w:r>
        <w:rPr>
          <w:b w:val="0"/>
        </w:rPr>
        <w:t xml:space="preserve">Просим предоставить </w:t>
      </w:r>
      <w:r>
        <w:rPr>
          <w:b/>
        </w:rPr>
        <w:t>apiKey</w:t>
      </w:r>
      <w:r>
        <w:rPr>
          <w:b w:val="0"/>
        </w:rPr>
        <w:t xml:space="preserve"> для доступа к </w:t>
      </w:r>
      <w:r>
        <w:rPr>
          <w:b/>
        </w:rPr>
        <w:t>API для сверки</w:t>
      </w:r>
      <w:r>
        <w:rPr>
          <w:b w:val="0"/>
        </w:rPr>
        <w:t xml:space="preserve"> (universal-api.1-ofd.ru). Согласно вашей документации, раздел 1.3, ключ выдаётся по письменному запросу на этот адрес.</w:t>
      </w:r>
    </w:p>
    <w:p>
      <w:pPr>
        <w:spacing w:before="240" w:after="80"/>
      </w:pPr>
      <w:r>
        <w:rPr>
          <w:b/>
          <w:sz w:val="25"/>
        </w:rPr>
        <w:t>Наши реквизиты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</w:tcPr>
          <w:p>
            <w:r>
              <w:rPr>
                <w:b/>
              </w:rPr>
              <w:t>Организация</w:t>
            </w:r>
          </w:p>
        </w:tc>
        <w:tc>
          <w:tcPr>
            <w:tcW w:type="dxa" w:w="6236"/>
          </w:tcPr>
          <w:p>
            <w:r>
              <w:t>ООО «МАВ»</w:t>
            </w:r>
          </w:p>
        </w:tc>
      </w:tr>
      <w:tr>
        <w:tc>
          <w:tcPr>
            <w:tcW w:type="dxa" w:w="3175"/>
          </w:tcPr>
          <w:p>
            <w:r>
              <w:rPr>
                <w:b/>
              </w:rPr>
              <w:t>ИНН</w:t>
            </w:r>
          </w:p>
        </w:tc>
        <w:tc>
          <w:tcPr>
            <w:tcW w:type="dxa" w:w="6236"/>
          </w:tcPr>
          <w:p>
            <w:r>
              <w:t>9729385147</w:t>
            </w:r>
          </w:p>
        </w:tc>
      </w:tr>
      <w:tr>
        <w:tc>
          <w:tcPr>
            <w:tcW w:type="dxa" w:w="3175"/>
          </w:tcPr>
          <w:p>
            <w:r>
              <w:rPr>
                <w:b/>
              </w:rPr>
              <w:t>Касса, РНМ</w:t>
            </w:r>
          </w:p>
        </w:tc>
        <w:tc>
          <w:tcPr>
            <w:tcW w:type="dxa" w:w="6236"/>
          </w:tcPr>
          <w:p>
            <w:r>
              <w:t>0008849127005613</w:t>
            </w:r>
          </w:p>
        </w:tc>
      </w:tr>
      <w:tr>
        <w:tc>
          <w:tcPr>
            <w:tcW w:type="dxa" w:w="3175"/>
          </w:tcPr>
          <w:p>
            <w:r>
              <w:rPr>
                <w:b/>
              </w:rPr>
              <w:t>Модель, заводской номер</w:t>
            </w:r>
          </w:p>
        </w:tc>
        <w:tc>
          <w:tcPr>
            <w:tcW w:type="dxa" w:w="6236"/>
          </w:tcPr>
          <w:p>
            <w:r>
              <w:t>АТОЛ 25Ф, 00105721423379</w:t>
            </w:r>
          </w:p>
        </w:tc>
      </w:tr>
      <w:tr>
        <w:tc>
          <w:tcPr>
            <w:tcW w:type="dxa" w:w="3175"/>
          </w:tcPr>
          <w:p>
            <w:r>
              <w:rPr>
                <w:b/>
              </w:rPr>
              <w:t>Фискальный накопитель (текущий)</w:t>
            </w:r>
          </w:p>
        </w:tc>
        <w:tc>
          <w:tcPr>
            <w:tcW w:type="dxa" w:w="6236"/>
          </w:tcPr>
          <w:p>
            <w:r>
              <w:t>7384440901356916</w:t>
            </w:r>
          </w:p>
        </w:tc>
      </w:tr>
      <w:tr>
        <w:tc>
          <w:tcPr>
            <w:tcW w:type="dxa" w:w="3175"/>
          </w:tcPr>
          <w:p>
            <w:r>
              <w:rPr>
                <w:b/>
              </w:rPr>
              <w:t>Фискальный накопитель (предыдущий)</w:t>
            </w:r>
          </w:p>
        </w:tc>
        <w:tc>
          <w:tcPr>
            <w:tcW w:type="dxa" w:w="6236"/>
          </w:tcPr>
          <w:p>
            <w:r>
              <w:t>7384440800219759</w:t>
            </w:r>
          </w:p>
        </w:tc>
      </w:tr>
      <w:tr>
        <w:tc>
          <w:tcPr>
            <w:tcW w:type="dxa" w:w="3175"/>
          </w:tcPr>
          <w:p>
            <w:r>
              <w:rPr>
                <w:b/>
              </w:rPr>
              <w:t>Адрес установки</w:t>
            </w:r>
          </w:p>
        </w:tc>
        <w:tc>
          <w:tcPr>
            <w:tcW w:type="dxa" w:w="6236"/>
          </w:tcPr>
          <w:p>
            <w:r>
              <w:t>191186, г. Санкт-Петербург, ул. Малая Конюшенная, д. 16/26, лит. А, пом. 12-Н, 13-Н, 26-Н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</w:rPr>
        <w:t xml:space="preserve">Данные запрашиваем </w:t>
      </w:r>
      <w:r>
        <w:rPr>
          <w:b/>
        </w:rPr>
        <w:t>по собственной организации</w:t>
      </w:r>
      <w:r>
        <w:rPr>
          <w:b w:val="0"/>
        </w:rPr>
        <w:t>, доступ к чужим данным нам не нужен.</w:t>
      </w:r>
    </w:p>
    <w:p>
      <w:pPr>
        <w:spacing w:before="240" w:after="80"/>
      </w:pPr>
      <w:r>
        <w:rPr>
          <w:b/>
          <w:sz w:val="25"/>
        </w:rPr>
        <w:t>Какой уровень прав нам нужен</w:t>
      </w:r>
    </w:p>
    <w:p>
      <w:pPr>
        <w:spacing w:after="120"/>
      </w:pPr>
      <w:r>
        <w:rPr>
          <w:b w:val="0"/>
          <w:sz w:val="22"/>
        </w:rPr>
        <w:t>По вашей документации (раздел 1.1) права различаются по объёму ответа метода из п. 11 «Получение списка документов». Просим предоставить:</w:t>
      </w:r>
    </w:p>
    <w:p>
      <w:pPr>
        <w:spacing w:after="120"/>
      </w:pPr>
      <w:r>
        <w:rPr>
          <w:b/>
        </w:rPr>
        <w:t>1. Основное право — «Данные по чекам, включая номенклатуру».</w:t>
      </w:r>
    </w:p>
    <w:p>
      <w:pPr>
        <w:spacing w:after="120"/>
      </w:pPr>
      <w:r>
        <w:rPr>
          <w:b w:val="0"/>
          <w:sz w:val="22"/>
        </w:rPr>
        <w:t>Это принципиально. При уровне «Данные по чекам» ответ метода п. 11, как указано в вашей документации, не содержит наименования и количества товара — а наша задача построена именно на составе чека, а не на суммах.</w:t>
      </w:r>
    </w:p>
    <w:p>
      <w:pPr>
        <w:spacing w:after="120"/>
      </w:pPr>
      <w:r>
        <w:rPr>
          <w:b/>
        </w:rPr>
        <w:t>2. Дополнительное право — «Передавать ИНН кассира».</w:t>
      </w:r>
    </w:p>
    <w:p>
      <w:pPr>
        <w:spacing w:after="120"/>
      </w:pPr>
      <w:r>
        <w:rPr>
          <w:b w:val="0"/>
          <w:sz w:val="22"/>
        </w:rPr>
        <w:t>Без него ответ не содержит имени и ИНН кассира, а нам нужно понимать, на какой смене и под какой учётной записью совершена операция.</w:t>
      </w:r>
    </w:p>
    <w:p>
      <w:pPr>
        <w:spacing w:after="120"/>
      </w:pPr>
      <w:r>
        <w:rPr>
          <w:b w:val="0"/>
        </w:rPr>
        <w:t xml:space="preserve">Права «Передавать данные покупателя» нам </w:t>
      </w:r>
      <w:r>
        <w:rPr>
          <w:b/>
        </w:rPr>
        <w:t>не требуются</w:t>
      </w:r>
      <w:r>
        <w:rPr>
          <w:b w:val="0"/>
        </w:rPr>
        <w:t xml:space="preserve"> — сведения о гостях мы не запрашиваем и обрабатывать не планируем.</w:t>
      </w:r>
    </w:p>
    <w:p>
      <w:pPr>
        <w:spacing w:before="240" w:after="80"/>
      </w:pPr>
      <w:r>
        <w:rPr>
          <w:b/>
          <w:sz w:val="25"/>
        </w:rPr>
        <w:t>Зачем это нам</w:t>
      </w:r>
    </w:p>
    <w:p>
      <w:pPr>
        <w:spacing w:after="120"/>
      </w:pPr>
      <w:r>
        <w:rPr>
          <w:b w:val="0"/>
        </w:rPr>
        <w:t xml:space="preserve">Мы ведём внутренний контроль кассовой дисциплины. Задача узкая: </w:t>
      </w:r>
      <w:r>
        <w:rPr>
          <w:b/>
        </w:rPr>
        <w:t>ежедневно сверять чеки возврата прихода с последующей перебивкой</w:t>
      </w:r>
      <w:r>
        <w:rPr>
          <w:b w:val="0"/>
        </w:rPr>
        <w:t xml:space="preserve"> — то есть проверять, что погашенный счёт был заново пробит, и видеть случаи, когда этого не произошло.</w:t>
      </w:r>
    </w:p>
    <w:p>
      <w:pPr>
        <w:spacing w:after="120"/>
      </w:pPr>
      <w:r>
        <w:rPr>
          <w:b w:val="0"/>
          <w:sz w:val="22"/>
        </w:rPr>
        <w:t>Сейчас мы делаем это руками, выгружая «Отчёт по чекам с позициями» из личного кабинета. Проверка за семь месяцев 2026 года показала, что она полезна и её стоит проводить ежедневно, — но ручная выгрузка для ежедневной работы не годится. Отсюда и запрос на API.</w:t>
      </w:r>
    </w:p>
    <w:p>
      <w:pPr>
        <w:spacing w:before="240" w:after="80"/>
      </w:pPr>
      <w:r>
        <w:rPr>
          <w:b/>
          <w:sz w:val="25"/>
        </w:rPr>
        <w:t>Вопросы</w:t>
      </w:r>
    </w:p>
    <w:p>
      <w:pPr>
        <w:spacing w:after="120"/>
        <w:ind w:left="340"/>
      </w:pPr>
      <w:r>
        <w:rPr>
          <w:b/>
        </w:rPr>
        <w:t xml:space="preserve">1. </w:t>
      </w:r>
      <w:r>
        <w:t>Какие документы или подтверждения нужны с нашей стороны, чтобы выдать ключ? Готовы предоставить всё необходимое.</w:t>
      </w:r>
    </w:p>
    <w:p>
      <w:pPr>
        <w:spacing w:after="120"/>
        <w:ind w:left="340"/>
      </w:pPr>
      <w:r>
        <w:rPr>
          <w:b/>
        </w:rPr>
        <w:t xml:space="preserve">2. </w:t>
      </w:r>
      <w:r>
        <w:t>В разделе 1.1 сказано, что методы возвращают данные при наличии разрешения, подтверждённого третьим лицом. Как это устроено, когда организация запрашивает данные по самой себе? Нужно ли нам оформлять разрешение в личном кабинете, и если да — в каком разделе.</w:t>
      </w:r>
    </w:p>
    <w:p>
      <w:pPr>
        <w:spacing w:after="120"/>
        <w:ind w:left="340"/>
      </w:pPr>
      <w:r>
        <w:rPr>
          <w:b/>
        </w:rPr>
        <w:t xml:space="preserve">3. </w:t>
      </w:r>
      <w:r>
        <w:t>Есть ли ограничения на частоту обращений к API? Мы планируем один запрос в сутки за предыдущий день, нагрузка минимальная.</w:t>
      </w:r>
    </w:p>
    <w:p>
      <w:pPr>
        <w:spacing w:after="120"/>
        <w:ind w:left="340"/>
      </w:pPr>
      <w:r>
        <w:rPr>
          <w:b/>
        </w:rPr>
        <w:t xml:space="preserve">4. </w:t>
      </w:r>
      <w:r>
        <w:t>Правильно ли мы понимаем, что параметр fsFactoryNumber обязателен и при замене фискального накопителя запрос нужно делать по каждому накопителю отдельно?</w:t>
      </w:r>
    </w:p>
    <w:p>
      <w:pPr>
        <w:spacing w:after="120"/>
        <w:ind w:left="340"/>
      </w:pPr>
      <w:r>
        <w:rPr>
          <w:b/>
        </w:rPr>
        <w:t xml:space="preserve">5. </w:t>
      </w:r>
      <w:r>
        <w:t>Мы работаем и через второе юридическое лицо. Нужно ли на него отдельное письмо и отдельный ключ, или доступ можно объединить? Реквизиты вышлем по вашему запросу.</w:t>
      </w:r>
    </w:p>
    <w:p>
      <w:pPr>
        <w:spacing w:after="120"/>
      </w:pPr>
    </w:p>
    <w:p>
      <w:pPr>
        <w:spacing w:after="120"/>
      </w:pPr>
      <w:r>
        <w:rPr>
          <w:b w:val="0"/>
          <w:sz w:val="22"/>
        </w:rPr>
        <w:t>С уважением,</w:t>
      </w:r>
    </w:p>
    <w:p>
      <w:pPr>
        <w:spacing w:after="0"/>
      </w:pPr>
      <w:r>
        <w:rPr>
          <w:b w:val="0"/>
          <w:sz w:val="22"/>
        </w:rPr>
        <w:t>[Должность], [ФИО]</w:t>
      </w:r>
    </w:p>
    <w:p>
      <w:pPr>
        <w:spacing w:after="0"/>
      </w:pPr>
      <w:r>
        <w:rPr>
          <w:b w:val="0"/>
          <w:sz w:val="22"/>
        </w:rPr>
        <w:t>ООО «МАВ»</w:t>
      </w:r>
    </w:p>
    <w:p>
      <w:pPr>
        <w:spacing w:after="120"/>
      </w:pPr>
      <w:r>
        <w:rPr>
          <w:b w:val="0"/>
          <w:sz w:val="22"/>
        </w:rPr>
        <w:t>[контактный e-mail] · [телефон]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