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0000"/>
          <w:sz w:val="52"/>
        </w:rPr>
        <w:t>KitchenBooks</w:t>
      </w:r>
    </w:p>
    <w:p>
      <w:pPr>
        <w:spacing w:after="320"/>
      </w:pPr>
      <w:r>
        <w:rPr>
          <w:rFonts w:ascii="Calibri" w:hAnsi="Calibri"/>
          <w:color w:val="595959"/>
          <w:sz w:val="30"/>
        </w:rPr>
        <w:t>Detailed Change Summary and Rationale</w:t>
      </w:r>
    </w:p>
    <w:p>
      <w:pPr>
        <w:spacing w:after="240"/>
      </w:pPr>
      <w:r>
        <w:rPr>
          <w:rFonts w:ascii="Calibri" w:hAnsi="Calibri"/>
          <w:b/>
          <w:sz w:val="21"/>
        </w:rPr>
        <w:t xml:space="preserve">Project: </w:t>
      </w:r>
      <w:r>
        <w:rPr>
          <w:rFonts w:ascii="Calibri" w:hAnsi="Calibri"/>
          <w:color w:val="595959"/>
          <w:sz w:val="21"/>
        </w:rPr>
        <w:t>rajeshanne-arc/kitchenbooks</w:t>
        <w:br/>
      </w:r>
      <w:r>
        <w:rPr>
          <w:rFonts w:ascii="Calibri" w:hAnsi="Calibri"/>
          <w:b/>
          <w:sz w:val="21"/>
        </w:rPr>
        <w:t xml:space="preserve">Deployment: </w:t>
      </w:r>
      <w:r>
        <w:rPr>
          <w:rFonts w:ascii="Calibri" w:hAnsi="Calibri"/>
          <w:color w:val="595959"/>
          <w:sz w:val="21"/>
        </w:rPr>
        <w:t>Self-hosted server at kb.etdemo.in</w:t>
        <w:br/>
      </w:r>
      <w:r>
        <w:rPr>
          <w:rFonts w:ascii="Calibri" w:hAnsi="Calibri"/>
          <w:b/>
          <w:sz w:val="21"/>
        </w:rPr>
        <w:t xml:space="preserve">Status: </w:t>
      </w:r>
      <w:r>
        <w:rPr>
          <w:rFonts w:ascii="Calibri" w:hAnsi="Calibri"/>
          <w:color w:val="595959"/>
          <w:sz w:val="21"/>
        </w:rPr>
        <w:t>Technical implementation and isolated hosted acceptance completed; final business approval remains pending</w:t>
      </w:r>
    </w:p>
    <w:p>
      <w:pPr>
        <w:spacing w:after="240"/>
      </w:pPr>
      <w:r>
        <w:rPr>
          <w:rFonts w:ascii="Calibri" w:hAnsi="Calibri"/>
          <w:b/>
          <w:color w:val="1F4D78"/>
          <w:sz w:val="22"/>
        </w:rPr>
        <w:t xml:space="preserve">Important scope note: </w:t>
      </w:r>
      <w:r>
        <w:t>These are changes made in the working tree. They have not been committed or pushed. Secrets and passwords are intentionally excluded from this report.</w:t>
      </w:r>
    </w:p>
    <w:p>
      <w:pPr>
        <w:pStyle w:val="Heading1"/>
        <w:keepNext/>
      </w:pPr>
      <w:r>
        <w:t>1. Production product specification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The work needed a durable source of truth so implementation could continue without losing product context.</w:t>
      </w:r>
    </w:p>
    <w:p>
      <w:pPr>
        <w:pStyle w:val="ListBullet"/>
        <w:spacing w:after="80" w:line="280" w:lineRule="auto"/>
      </w:pPr>
      <w:r>
        <w:t>Created and updated product-spec.md, feature-status.md, worklog.md, production-release-checklist.md, and production-approval.md.</w:t>
      </w:r>
    </w:p>
    <w:p>
      <w:pPr>
        <w:pStyle w:val="ListBullet"/>
        <w:spacing w:after="80" w:line="280" w:lineRule="auto"/>
      </w:pPr>
      <w:r>
        <w:t>Recorded the agreed ground rule: continue end-to-end and stop only for a genuinely external dependency or an irreversible live-data approval.</w:t>
      </w:r>
    </w:p>
    <w:p>
      <w:pPr>
        <w:pStyle w:val="ListBullet"/>
        <w:spacing w:after="80" w:line="280" w:lineRule="auto"/>
      </w:pPr>
      <w:r>
        <w:t>Separated implemented functionality, technical verification, external dependencies, and business sign-off.</w:t>
      </w:r>
    </w:p>
    <w:p>
      <w:pPr>
        <w:pStyle w:val="Heading1"/>
        <w:keepNext/>
      </w:pPr>
      <w:r>
        <w:t>2. Self-hosted production deployment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The shared Supabase project was unsuitable for the application because its database credentials and usage were shared by multiple people.</w:t>
      </w:r>
    </w:p>
    <w:p>
      <w:pPr>
        <w:pStyle w:val="ListBullet"/>
        <w:spacing w:after="80" w:line="280" w:lineRule="auto"/>
      </w:pPr>
      <w:r>
        <w:t>Deployed KitchenBooks on the authorized server at 100.64.33.51.</w:t>
      </w:r>
    </w:p>
    <w:p>
      <w:pPr>
        <w:pStyle w:val="ListBullet"/>
        <w:spacing w:after="80" w:line="280" w:lineRule="auto"/>
      </w:pPr>
      <w:r>
        <w:t>Configured kitchenbooks.service to run the application on 127.0.0.1:3120.</w:t>
      </w:r>
    </w:p>
    <w:p>
      <w:pPr>
        <w:pStyle w:val="ListBullet"/>
        <w:spacing w:after="80" w:line="280" w:lineRule="auto"/>
      </w:pPr>
      <w:r>
        <w:t>Reused the existing PostgreSQL Docker cluster, but created a separate logical database named kitchenbooks.</w:t>
      </w:r>
    </w:p>
    <w:p>
      <w:pPr>
        <w:pStyle w:val="ListBullet"/>
        <w:spacing w:after="80" w:line="280" w:lineRule="auto"/>
      </w:pPr>
      <w:r>
        <w:t>Added a local database TLS proxy on 127.0.0.1:55432.</w:t>
      </w:r>
    </w:p>
    <w:p>
      <w:pPr>
        <w:pStyle w:val="ListBullet"/>
        <w:spacing w:after="80" w:line="280" w:lineRule="auto"/>
      </w:pPr>
      <w:r>
        <w:t>Did not create a second Docker container.</w:t>
      </w:r>
    </w:p>
    <w:p>
      <w:pPr>
        <w:pStyle w:val="Heading1"/>
        <w:keepNext/>
      </w:pPr>
      <w:r>
        <w:t>3. Cloudflare routing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The application needed a public HTTPS address while remaining bound to localhost on the server.</w:t>
      </w:r>
    </w:p>
    <w:p>
      <w:pPr>
        <w:pStyle w:val="ListBullet"/>
        <w:spacing w:after="80" w:line="280" w:lineRule="auto"/>
      </w:pPr>
      <w:r>
        <w:t>Configured the Cloudflare Tunnel route kb.etdemo.in to forward to localhost:3120.</w:t>
      </w:r>
    </w:p>
    <w:p>
      <w:pPr>
        <w:pStyle w:val="ListBullet"/>
        <w:spacing w:after="80" w:line="280" w:lineRule="auto"/>
      </w:pPr>
      <w:r>
        <w:t>Verified that https://kb.etdemo.in serves the application.</w:t>
      </w:r>
    </w:p>
    <w:p>
      <w:pPr>
        <w:pStyle w:val="ListBullet"/>
        <w:spacing w:after="80" w:line="280" w:lineRule="auto"/>
      </w:pPr>
      <w:r>
        <w:t>Kept the application port private rather than exposing it directly to the internet.</w:t>
      </w:r>
    </w:p>
    <w:p>
      <w:pPr>
        <w:pStyle w:val="Heading1"/>
        <w:keepNext/>
      </w:pPr>
      <w:r>
        <w:t>4. Database and migrations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The new deployment needed a complete, independently verifiable KitchenBooks database rather than relying on incomplete shared tables.</w:t>
      </w:r>
    </w:p>
    <w:p>
      <w:pPr>
        <w:pStyle w:val="ListBullet"/>
        <w:spacing w:after="80" w:line="280" w:lineRule="auto"/>
      </w:pPr>
      <w:r>
        <w:t>Applied and verified the complete migration set on the self-hosted kitchenbooks database.</w:t>
      </w:r>
    </w:p>
    <w:p>
      <w:pPr>
        <w:pStyle w:val="ListBullet"/>
        <w:spacing w:after="80" w:line="280" w:lineRule="auto"/>
      </w:pPr>
      <w:r>
        <w:t>Added structures for tenants, users, memberships, roles, inventory, lots, purchases, sales, accounting, payroll, leave, attachments, approvals, and business days.</w:t>
      </w:r>
    </w:p>
    <w:p>
      <w:pPr>
        <w:pStyle w:val="ListBullet"/>
        <w:spacing w:after="80" w:line="280" w:lineRule="auto"/>
      </w:pPr>
      <w:r>
        <w:t>Replayed and audited migrations without modifying the shared Supabase project.</w:t>
      </w:r>
    </w:p>
    <w:p>
      <w:pPr>
        <w:pStyle w:val="Heading1"/>
        <w:keepNext/>
      </w:pPr>
      <w:r>
        <w:t>5. Tenant isolation and database security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Restaurant data must remain isolated even if an application route or client request is incorrect.</w:t>
      </w:r>
    </w:p>
    <w:p>
      <w:pPr>
        <w:pStyle w:val="ListBullet"/>
        <w:spacing w:after="80" w:line="280" w:lineRule="auto"/>
      </w:pPr>
      <w:r>
        <w:t>Strengthened tenant-aware access throughout the database.</w:t>
      </w:r>
    </w:p>
    <w:p>
      <w:pPr>
        <w:pStyle w:val="ListBullet"/>
        <w:spacing w:after="80" w:line="280" w:lineRule="auto"/>
      </w:pPr>
      <w:r>
        <w:t>Added or verified row-level security across tenant tables.</w:t>
      </w:r>
    </w:p>
    <w:p>
      <w:pPr>
        <w:pStyle w:val="ListBullet"/>
        <w:spacing w:after="80" w:line="280" w:lineRule="auto"/>
      </w:pPr>
      <w:r>
        <w:t>Added tenant-aware security-invoker behavior for sensitive views.</w:t>
      </w:r>
    </w:p>
    <w:p>
      <w:pPr>
        <w:pStyle w:val="ListBullet"/>
        <w:spacing w:after="80" w:line="280" w:lineRule="auto"/>
      </w:pPr>
      <w:r>
        <w:t>Added composite foreign keys containing tenant identifiers.</w:t>
      </w:r>
    </w:p>
    <w:p>
      <w:pPr>
        <w:pStyle w:val="ListBullet"/>
        <w:spacing w:after="80" w:line="280" w:lineRule="auto"/>
      </w:pPr>
      <w:r>
        <w:t>Made business-date operations tenant-aware.</w:t>
      </w:r>
    </w:p>
    <w:p>
      <w:pPr>
        <w:pStyle w:val="ListBullet"/>
        <w:spacing w:after="80" w:line="280" w:lineRule="auto"/>
      </w:pPr>
      <w:r>
        <w:t>Added strict tenancy audit scripts and verified them successfully.</w:t>
      </w:r>
    </w:p>
    <w:p>
      <w:pPr>
        <w:pStyle w:val="Heading1"/>
        <w:keepNext/>
      </w:pPr>
      <w:r>
        <w:t>6. Users, roles, and permissions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KitchenBooks has different operational responsibilities, so each user must see and perform only the work appropriate to their role.</w:t>
      </w:r>
    </w:p>
    <w:p>
      <w:pPr>
        <w:pStyle w:val="ListBullet"/>
        <w:spacing w:after="80" w:line="280" w:lineRule="auto"/>
      </w:pPr>
      <w:r>
        <w:t>Implemented and tested Owner, Manager, Chef/Kitchen, Store, Cashier/Sales, Staff, and Accountant roles.</w:t>
      </w:r>
    </w:p>
    <w:p>
      <w:pPr>
        <w:pStyle w:val="ListBullet"/>
        <w:spacing w:after="80" w:line="280" w:lineRule="auto"/>
      </w:pPr>
      <w:r>
        <w:t>Added membership-based tenant access.</w:t>
      </w:r>
    </w:p>
    <w:p>
      <w:pPr>
        <w:pStyle w:val="ListBullet"/>
        <w:spacing w:after="80" w:line="280" w:lineRule="auto"/>
      </w:pPr>
      <w:r>
        <w:t>Added invitations and password reset support.</w:t>
      </w:r>
    </w:p>
    <w:p>
      <w:pPr>
        <w:pStyle w:val="ListBullet"/>
        <w:spacing w:after="80" w:line="280" w:lineRule="auto"/>
      </w:pPr>
      <w:r>
        <w:t>Protected owner-only setup and user-management screens.</w:t>
      </w:r>
    </w:p>
    <w:p>
      <w:pPr>
        <w:pStyle w:val="ListBullet"/>
        <w:spacing w:after="80" w:line="280" w:lineRule="auto"/>
      </w:pPr>
      <w:r>
        <w:t>Added role-specific dashboard routing and unauthorized-access handling.</w:t>
      </w:r>
    </w:p>
    <w:p>
      <w:pPr>
        <w:pStyle w:val="Heading1"/>
        <w:keepNext/>
      </w:pPr>
      <w:r>
        <w:t>7. Login and session fixes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The application could authenticate successfully but then fail on the next page because membership and tenant context were resolved incorrectly.</w:t>
      </w:r>
    </w:p>
    <w:p>
      <w:pPr>
        <w:pStyle w:val="ListBullet"/>
        <w:spacing w:after="80" w:line="280" w:lineRule="auto"/>
      </w:pPr>
      <w:r>
        <w:t>Changed membership lookup to use secure database functions instead of directly querying rows hidden by row-level security.</w:t>
      </w:r>
    </w:p>
    <w:p>
      <w:pPr>
        <w:pStyle w:val="ListBullet"/>
        <w:spacing w:after="80" w:line="280" w:lineRule="auto"/>
      </w:pPr>
      <w:r>
        <w:t>Fixed references to membership fields that were not returned by the database function.</w:t>
      </w:r>
    </w:p>
    <w:p>
      <w:pPr>
        <w:pStyle w:val="ListBullet"/>
        <w:spacing w:after="80" w:line="280" w:lineRule="auto"/>
      </w:pPr>
      <w:r>
        <w:t>Restored tenant context from the signed session cookie when a business-day query did not already have a tenant context.</w:t>
      </w:r>
    </w:p>
    <w:p>
      <w:pPr>
        <w:pStyle w:val="ListBullet"/>
        <w:spacing w:after="80" w:line="280" w:lineRule="auto"/>
      </w:pPr>
      <w:r>
        <w:t>Verified the fix against the hosted owner and role pages.</w:t>
      </w:r>
    </w:p>
    <w:p>
      <w:pPr>
        <w:pStyle w:val="Heading1"/>
        <w:keepNext/>
      </w:pPr>
      <w:r>
        <w:t>8. Inventory and stock-lot accounting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Food inventory needs a traceable ledger and must prevent unexplained or impossible stock balances.</w:t>
      </w:r>
    </w:p>
    <w:p>
      <w:pPr>
        <w:pStyle w:val="ListBullet"/>
        <w:spacing w:after="80" w:line="280" w:lineRule="auto"/>
      </w:pPr>
      <w:r>
        <w:t>Added append-only stock-lot movements.</w:t>
      </w:r>
    </w:p>
    <w:p>
      <w:pPr>
        <w:pStyle w:val="ListBullet"/>
        <w:spacing w:after="80" w:line="280" w:lineRule="auto"/>
      </w:pPr>
      <w:r>
        <w:t>Added lot creation on receiving and FEFO-style lot selection.</w:t>
      </w:r>
    </w:p>
    <w:p>
      <w:pPr>
        <w:pStyle w:val="ListBullet"/>
        <w:spacing w:after="80" w:line="280" w:lineRule="auto"/>
      </w:pPr>
      <w:r>
        <w:t>Prevented over-issuing stock that was never received.</w:t>
      </w:r>
    </w:p>
    <w:p>
      <w:pPr>
        <w:pStyle w:val="ListBullet"/>
        <w:spacing w:after="80" w:line="280" w:lineRule="auto"/>
      </w:pPr>
      <w:r>
        <w:t>Added lot-level audit history and controlled adjustments.</w:t>
      </w:r>
    </w:p>
    <w:p>
      <w:pPr>
        <w:pStyle w:val="ListBullet"/>
        <w:spacing w:after="80" w:line="280" w:lineRule="auto"/>
      </w:pPr>
      <w:r>
        <w:t>Added stock valuation and invalid-balance checks.</w:t>
      </w:r>
    </w:p>
    <w:p>
      <w:pPr>
        <w:pStyle w:val="Heading1"/>
        <w:keepNext/>
      </w:pPr>
      <w:r>
        <w:t>9. Purchasing workflow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Purchases should be reviewed and committed atomically so inventory and accounting cannot become partially updated.</w:t>
      </w:r>
    </w:p>
    <w:p>
      <w:pPr>
        <w:pStyle w:val="ListBullet"/>
        <w:spacing w:after="80" w:line="280" w:lineRule="auto"/>
      </w:pPr>
      <w:r>
        <w:t>Implemented purchase orders, approvals, vendor quotes, and invoice matching.</w:t>
      </w:r>
    </w:p>
    <w:p>
      <w:pPr>
        <w:pStyle w:val="ListBullet"/>
        <w:spacing w:after="80" w:line="280" w:lineRule="auto"/>
      </w:pPr>
      <w:r>
        <w:t>Added grouped purchase-batch imports with preview before commit.</w:t>
      </w:r>
    </w:p>
    <w:p>
      <w:pPr>
        <w:pStyle w:val="ListBullet"/>
        <w:spacing w:after="80" w:line="280" w:lineRule="auto"/>
      </w:pPr>
      <w:r>
        <w:t>Added vendor and bill references.</w:t>
      </w:r>
    </w:p>
    <w:p>
      <w:pPr>
        <w:pStyle w:val="ListBullet"/>
        <w:spacing w:after="80" w:line="280" w:lineRule="auto"/>
      </w:pPr>
      <w:r>
        <w:t>Made purchase commits atomic.</w:t>
      </w:r>
    </w:p>
    <w:p>
      <w:pPr>
        <w:pStyle w:val="ListBullet"/>
        <w:spacing w:after="80" w:line="280" w:lineRule="auto"/>
      </w:pPr>
      <w:r>
        <w:t>Connected receiving and purchase records to accounting mappings.</w:t>
      </w:r>
    </w:p>
    <w:p>
      <w:pPr>
        <w:pStyle w:val="Heading1"/>
        <w:keepNext/>
      </w:pPr>
      <w:r>
        <w:t>10. Sales and POS reconciliation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POS sales, preparation demand, and inventory movements are related but should not be conflated automatically.</w:t>
      </w:r>
    </w:p>
    <w:p>
      <w:pPr>
        <w:pStyle w:val="ListBullet"/>
        <w:spacing w:after="80" w:line="280" w:lineRule="auto"/>
      </w:pPr>
      <w:r>
        <w:t>Added sales capture and POS statement import support.</w:t>
      </w:r>
    </w:p>
    <w:p>
      <w:pPr>
        <w:pStyle w:val="ListBullet"/>
        <w:spacing w:after="80" w:line="280" w:lineRule="auto"/>
      </w:pPr>
      <w:r>
        <w:t>Added a preview gate before POS data is committed.</w:t>
      </w:r>
    </w:p>
    <w:p>
      <w:pPr>
        <w:pStyle w:val="ListBullet"/>
        <w:spacing w:after="80" w:line="280" w:lineRule="auto"/>
      </w:pPr>
      <w:r>
        <w:t>Added reconciliation support.</w:t>
      </w:r>
    </w:p>
    <w:p>
      <w:pPr>
        <w:pStyle w:val="ListBullet"/>
        <w:spacing w:after="80" w:line="280" w:lineRule="auto"/>
      </w:pPr>
      <w:r>
        <w:t>Added an owner-controlled POS stock policy: no stock movement or stock reconciliation.</w:t>
      </w:r>
    </w:p>
    <w:p>
      <w:pPr>
        <w:pStyle w:val="ListBullet"/>
        <w:spacing w:after="80" w:line="280" w:lineRule="auto"/>
      </w:pPr>
      <w:r>
        <w:t>Added mapped preparation-demand behavior.</w:t>
      </w:r>
    </w:p>
    <w:p>
      <w:pPr>
        <w:pStyle w:val="Heading1"/>
        <w:keepNext/>
      </w:pPr>
      <w:r>
        <w:t>11. Accounting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Financial records need clear posting rules, traceability, and controlled corrections.</w:t>
      </w:r>
    </w:p>
    <w:p>
      <w:pPr>
        <w:pStyle w:val="ListBullet"/>
        <w:spacing w:after="80" w:line="280" w:lineRule="auto"/>
      </w:pPr>
      <w:r>
        <w:t>Added chart of accounts and posting mappings.</w:t>
      </w:r>
    </w:p>
    <w:p>
      <w:pPr>
        <w:pStyle w:val="ListBullet"/>
        <w:spacing w:after="80" w:line="280" w:lineRule="auto"/>
      </w:pPr>
      <w:r>
        <w:t>Added accounting journals and journal lines.</w:t>
      </w:r>
    </w:p>
    <w:p>
      <w:pPr>
        <w:pStyle w:val="ListBullet"/>
        <w:spacing w:after="80" w:line="280" w:lineRule="auto"/>
      </w:pPr>
      <w:r>
        <w:t>Added business-day close behavior.</w:t>
      </w:r>
    </w:p>
    <w:p>
      <w:pPr>
        <w:pStyle w:val="ListBullet"/>
        <w:spacing w:after="80" w:line="280" w:lineRule="auto"/>
      </w:pPr>
      <w:r>
        <w:t>Added accrual and fixed-asset support.</w:t>
      </w:r>
    </w:p>
    <w:p>
      <w:pPr>
        <w:pStyle w:val="ListBullet"/>
        <w:spacing w:after="80" w:line="280" w:lineRule="auto"/>
      </w:pPr>
      <w:r>
        <w:t>Added register and recurring-accounting screens.</w:t>
      </w:r>
    </w:p>
    <w:p>
      <w:pPr>
        <w:pStyle w:val="ListBullet"/>
        <w:spacing w:after="80" w:line="280" w:lineRule="auto"/>
      </w:pPr>
      <w:r>
        <w:t>Implemented immutable void-and-refile correction behavior instead of silently overwriting posted records.</w:t>
      </w:r>
    </w:p>
    <w:p>
      <w:pPr>
        <w:pStyle w:val="Heading1"/>
        <w:keepNext/>
      </w:pPr>
      <w:r>
        <w:t>12. Payroll and leave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Payroll and leave balances require structured records and validation rather than manual totals.</w:t>
      </w:r>
    </w:p>
    <w:p>
      <w:pPr>
        <w:pStyle w:val="ListBullet"/>
        <w:spacing w:after="80" w:line="280" w:lineRule="auto"/>
      </w:pPr>
      <w:r>
        <w:t>Added payroll workflow support.</w:t>
      </w:r>
    </w:p>
    <w:p>
      <w:pPr>
        <w:pStyle w:val="ListBullet"/>
        <w:spacing w:after="80" w:line="280" w:lineRule="auto"/>
      </w:pPr>
      <w:r>
        <w:t>Added a formal leave ledger and carry-forward calculations.</w:t>
      </w:r>
    </w:p>
    <w:p>
      <w:pPr>
        <w:pStyle w:val="ListBullet"/>
        <w:spacing w:after="80" w:line="280" w:lineRule="auto"/>
      </w:pPr>
      <w:r>
        <w:t>Added PF/ESI validation.</w:t>
      </w:r>
    </w:p>
    <w:p>
      <w:pPr>
        <w:pStyle w:val="ListBullet"/>
        <w:spacing w:after="80" w:line="280" w:lineRule="auto"/>
      </w:pPr>
      <w:r>
        <w:t>Added neutral withholding CSV export.</w:t>
      </w:r>
    </w:p>
    <w:p>
      <w:pPr>
        <w:pStyle w:val="Heading1"/>
        <w:keepNext/>
      </w:pPr>
      <w:r>
        <w:t>13. SOPs and localization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The product is intended for operational teams with different responsibilities and language needs.</w:t>
      </w:r>
    </w:p>
    <w:p>
      <w:pPr>
        <w:pStyle w:val="ListBullet"/>
        <w:spacing w:after="80" w:line="280" w:lineRule="auto"/>
      </w:pPr>
      <w:r>
        <w:t>Added role-specific SOP moments across kitchen, store, sales, staff, owner, and accounts workflows.</w:t>
      </w:r>
    </w:p>
    <w:p>
      <w:pPr>
        <w:pStyle w:val="ListBullet"/>
        <w:spacing w:after="80" w:line="280" w:lineRule="auto"/>
      </w:pPr>
      <w:r>
        <w:t>Added Telugu localization support.</w:t>
      </w:r>
    </w:p>
    <w:p>
      <w:pPr>
        <w:pStyle w:val="ListBullet"/>
        <w:spacing w:after="80" w:line="280" w:lineRule="auto"/>
      </w:pPr>
      <w:r>
        <w:t>Improved user-facing workflow labels and explanations.</w:t>
      </w:r>
    </w:p>
    <w:p>
      <w:pPr>
        <w:pStyle w:val="Heading1"/>
        <w:keepNext/>
      </w:pPr>
      <w:r>
        <w:t>14. Attachment storage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Bill photos and attachments needed to work without external Blob or R2 credentials.</w:t>
      </w:r>
    </w:p>
    <w:p>
      <w:pPr>
        <w:pStyle w:val="ListBullet"/>
        <w:spacing w:after="80" w:line="280" w:lineRule="auto"/>
      </w:pPr>
      <w:r>
        <w:t>Added private local filesystem storage controlled by KB_FILE_STORAGE_DIR.</w:t>
      </w:r>
    </w:p>
    <w:p>
      <w:pPr>
        <w:pStyle w:val="ListBullet"/>
        <w:spacing w:after="80" w:line="280" w:lineRule="auto"/>
      </w:pPr>
      <w:r>
        <w:t>Restricted storage directory and file permissions.</w:t>
      </w:r>
    </w:p>
    <w:p>
      <w:pPr>
        <w:pStyle w:val="ListBullet"/>
        <w:spacing w:after="80" w:line="280" w:lineRule="auto"/>
      </w:pPr>
      <w:r>
        <w:t>Rejected path traversal attempts.</w:t>
      </w:r>
    </w:p>
    <w:p>
      <w:pPr>
        <w:pStyle w:val="ListBullet"/>
        <w:spacing w:after="80" w:line="280" w:lineRule="auto"/>
      </w:pPr>
      <w:r>
        <w:t>Served attachments through authenticated application routes.</w:t>
      </w:r>
    </w:p>
    <w:p>
      <w:pPr>
        <w:pStyle w:val="ListBullet"/>
        <w:spacing w:after="80" w:line="280" w:lineRule="auto"/>
      </w:pPr>
      <w:r>
        <w:t>Preserved the existing Vercel Blob path so storage can later move to Blob or R2 without redesigning the feature.</w:t>
      </w:r>
    </w:p>
    <w:p>
      <w:pPr>
        <w:pStyle w:val="Heading1"/>
        <w:keepNext/>
      </w:pPr>
      <w:r>
        <w:t>15. Petpooja and demo data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Real Petpooja credentials were unavailable, so the integration needed a safe way to be tested without pretending to access a real provider account.</w:t>
      </w:r>
    </w:p>
    <w:p>
      <w:pPr>
        <w:pStyle w:val="ListBullet"/>
        <w:spacing w:after="80" w:line="280" w:lineRule="auto"/>
      </w:pPr>
      <w:r>
        <w:t>Added Petpooja configuration and demo-mode support.</w:t>
      </w:r>
    </w:p>
    <w:p>
      <w:pPr>
        <w:pStyle w:val="ListBullet"/>
        <w:spacing w:after="80" w:line="280" w:lineRule="auto"/>
      </w:pPr>
      <w:r>
        <w:t>Added isolated seed/probe data for testing provider-related workflows.</w:t>
      </w:r>
    </w:p>
    <w:p>
      <w:pPr>
        <w:pStyle w:val="ListBullet"/>
        <w:spacing w:after="80" w:line="280" w:lineRule="auto"/>
      </w:pPr>
      <w:r>
        <w:t>Kept real provider credentials as an external dependency rather than inventing them.</w:t>
      </w:r>
    </w:p>
    <w:p>
      <w:pPr>
        <w:pStyle w:val="Heading1"/>
        <w:keepNext/>
      </w:pPr>
      <w:r>
        <w:t>16. Public landing page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Unauthenticated visitors needed a clear explanation of the product instead of being sent immediately to a blank or login-only experience.</w:t>
      </w:r>
    </w:p>
    <w:p>
      <w:pPr>
        <w:pStyle w:val="ListBullet"/>
        <w:spacing w:after="80" w:line="280" w:lineRule="auto"/>
      </w:pPr>
      <w:r>
        <w:t>Replaced the root page with a production-style KitchenBooks landing page.</w:t>
      </w:r>
    </w:p>
    <w:p>
      <w:pPr>
        <w:pStyle w:val="ListBullet"/>
        <w:spacing w:after="80" w:line="280" w:lineRule="auto"/>
      </w:pPr>
      <w:r>
        <w:t>Added sections for purchasing, inventory, kitchen operations, sales, accounting, payroll, owner controls, evidence, imports, SOPs, and language support.</w:t>
      </w:r>
    </w:p>
    <w:p>
      <w:pPr>
        <w:pStyle w:val="ListBullet"/>
        <w:spacing w:after="80" w:line="280" w:lineRule="auto"/>
      </w:pPr>
      <w:r>
        <w:t>Added role cards for Owner, Manager, Chef, Store, Cashier, and Accountant.</w:t>
      </w:r>
    </w:p>
    <w:p>
      <w:pPr>
        <w:pStyle w:val="ListBullet"/>
        <w:spacing w:after="80" w:line="280" w:lineRule="auto"/>
      </w:pPr>
      <w:r>
        <w:t>Added How it works, Roles, and Sign in navigation.</w:t>
      </w:r>
    </w:p>
    <w:p>
      <w:pPr>
        <w:pStyle w:val="Heading1"/>
        <w:keepNext/>
      </w:pPr>
      <w:r>
        <w:t>17. Public route handling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The middleware previously redirected the root path before the new landing page could render.</w:t>
      </w:r>
    </w:p>
    <w:p>
      <w:pPr>
        <w:pStyle w:val="ListBullet"/>
        <w:spacing w:after="80" w:line="280" w:lineRule="auto"/>
      </w:pPr>
      <w:r>
        <w:t>Marked the root path as public in src/proxy.ts.</w:t>
      </w:r>
    </w:p>
    <w:p>
      <w:pPr>
        <w:pStyle w:val="ListBullet"/>
        <w:spacing w:after="80" w:line="280" w:lineRule="auto"/>
      </w:pPr>
      <w:r>
        <w:t>Kept protected application routes behind authentication.</w:t>
      </w:r>
    </w:p>
    <w:p>
      <w:pPr>
        <w:pStyle w:val="ListBullet"/>
        <w:spacing w:after="80" w:line="280" w:lineRule="auto"/>
      </w:pPr>
      <w:r>
        <w:t>Kept authenticated users redirected to their role dashboard.</w:t>
      </w:r>
    </w:p>
    <w:p>
      <w:pPr>
        <w:pStyle w:val="Heading1"/>
        <w:keepNext/>
      </w:pPr>
      <w:r>
        <w:t>18. Testing and smoke-test corrections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Automated checks must match the current product rules and must never write into live business data.</w:t>
      </w:r>
    </w:p>
    <w:p>
      <w:pPr>
        <w:pStyle w:val="ListBullet"/>
        <w:spacing w:after="80" w:line="280" w:lineRule="auto"/>
      </w:pPr>
      <w:r>
        <w:t>Added migration, schema, RLS, tenancy, role-matrix, stock-lot, deployment, and preflight audits.</w:t>
      </w:r>
    </w:p>
    <w:p>
      <w:pPr>
        <w:pStyle w:val="ListBullet"/>
        <w:spacing w:after="80" w:line="280" w:lineRule="auto"/>
      </w:pPr>
      <w:r>
        <w:t>Restricted write-capable smoke tests to an isolated probe tenant.</w:t>
      </w:r>
    </w:p>
    <w:p>
      <w:pPr>
        <w:pStyle w:val="ListBullet"/>
        <w:spacing w:after="80" w:line="280" w:lineRule="auto"/>
      </w:pPr>
      <w:r>
        <w:t>Updated store tests to use the actual configured receiving sections instead of a stale hardcoded count.</w:t>
      </w:r>
    </w:p>
    <w:p>
      <w:pPr>
        <w:pStyle w:val="ListBullet"/>
        <w:spacing w:after="80" w:line="280" w:lineRule="auto"/>
      </w:pPr>
      <w:r>
        <w:t>Updated dashboard tests to validate lot-ledger over-issue rejection instead of expecting an impossible negative balance.</w:t>
      </w:r>
    </w:p>
    <w:p>
      <w:pPr>
        <w:pStyle w:val="ListBullet"/>
        <w:spacing w:after="80" w:line="280" w:lineRule="auto"/>
      </w:pPr>
      <w:r>
        <w:t>Verified purchase-batch, sales, store, and dashboard flows on the hosted probe.</w:t>
      </w:r>
    </w:p>
    <w:p>
      <w:pPr>
        <w:pStyle w:val="Heading1"/>
        <w:keepNext/>
      </w:pPr>
      <w:r>
        <w:t>19. Verification completed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The implementation needed evidence that it builds, starts, serves traffic, and passes the core technical gates.</w:t>
      </w:r>
    </w:p>
    <w:p>
      <w:pPr>
        <w:pStyle w:val="ListBullet"/>
        <w:spacing w:after="80" w:line="280" w:lineRule="auto"/>
      </w:pPr>
      <w:r>
        <w:t>TypeScript compilation passed.</w:t>
      </w:r>
    </w:p>
    <w:p>
      <w:pPr>
        <w:pStyle w:val="ListBullet"/>
        <w:spacing w:after="80" w:line="280" w:lineRule="auto"/>
      </w:pPr>
      <w:r>
        <w:t>Lint passed.</w:t>
      </w:r>
    </w:p>
    <w:p>
      <w:pPr>
        <w:pStyle w:val="ListBullet"/>
        <w:spacing w:after="80" w:line="280" w:lineRule="auto"/>
      </w:pPr>
      <w:r>
        <w:t>Production build passed.</w:t>
      </w:r>
    </w:p>
    <w:p>
      <w:pPr>
        <w:pStyle w:val="ListBullet"/>
        <w:spacing w:after="80" w:line="280" w:lineRule="auto"/>
      </w:pPr>
      <w:r>
        <w:t>Dependency audit passed with no high-severity production vulnerabilities.</w:t>
      </w:r>
    </w:p>
    <w:p>
      <w:pPr>
        <w:pStyle w:val="ListBullet"/>
        <w:spacing w:after="80" w:line="280" w:lineRule="auto"/>
      </w:pPr>
      <w:r>
        <w:t>Migration replay, schema audit, strict tenancy audit, access-matrix audit, and stock-lot audit passed.</w:t>
      </w:r>
    </w:p>
    <w:p>
      <w:pPr>
        <w:pStyle w:val="ListBullet"/>
        <w:spacing w:after="80" w:line="280" w:lineRule="auto"/>
      </w:pPr>
      <w:r>
        <w:t>Hosted public, login, owner, kitchen, store, sales, staff, and accounts routes were verified.</w:t>
      </w:r>
    </w:p>
    <w:p>
      <w:pPr>
        <w:pStyle w:val="ListBullet"/>
        <w:spacing w:after="80" w:line="280" w:lineRule="auto"/>
      </w:pPr>
      <w:r>
        <w:t>Cloudflare routing, systemd services, local attachment storage, and hosted probe workflows were verified.</w:t>
      </w:r>
    </w:p>
    <w:p>
      <w:pPr>
        <w:pStyle w:val="Heading1"/>
        <w:keepNext/>
      </w:pPr>
      <w:r>
        <w:t>20. What remains outside the implementation</w:t>
      </w:r>
    </w:p>
    <w:p>
      <w:r>
        <w:rPr>
          <w:rFonts w:ascii="Calibri" w:hAnsi="Calibri"/>
          <w:b/>
          <w:color w:val="1F4D78"/>
          <w:sz w:val="22"/>
        </w:rPr>
        <w:t xml:space="preserve">Why this was done: </w:t>
      </w:r>
      <w:r>
        <w:t>Some items cannot be completed truthfully without external credentials or an authorized business decision.</w:t>
      </w:r>
    </w:p>
    <w:p>
      <w:pPr>
        <w:pStyle w:val="ListBullet"/>
        <w:spacing w:after="80" w:line="280" w:lineRule="auto"/>
      </w:pPr>
      <w:r>
        <w:t>Real Petpooja credentials and provider validation are still required.</w:t>
      </w:r>
    </w:p>
    <w:p>
      <w:pPr>
        <w:pStyle w:val="ListBullet"/>
        <w:spacing w:after="80" w:line="280" w:lineRule="auto"/>
      </w:pPr>
      <w:r>
        <w:t>WhatsApp credentials and template approval are still required if WhatsApp notifications are part of launch scope.</w:t>
      </w:r>
    </w:p>
    <w:p>
      <w:pPr>
        <w:pStyle w:val="ListBullet"/>
        <w:spacing w:after="80" w:line="280" w:lineRule="auto"/>
      </w:pPr>
      <w:r>
        <w:t>A real business-day acceptance using owner-approved operational data is still required.</w:t>
      </w:r>
    </w:p>
    <w:p>
      <w:pPr>
        <w:pStyle w:val="ListBullet"/>
        <w:spacing w:after="80" w:line="280" w:lineRule="auto"/>
      </w:pPr>
      <w:r>
        <w:t>The owner/accountant must provide the final production approval; it was not forged or self-signed.</w:t>
      </w:r>
    </w:p>
    <w:p>
      <w:pPr>
        <w:pStyle w:val="ListBullet"/>
        <w:spacing w:after="80" w:line="280" w:lineRule="auto"/>
      </w:pPr>
      <w:r>
        <w:t>The current attachment backend is local filesystem storage. R2 can replace it later behind the same interface.</w:t>
      </w:r>
    </w:p>
    <w:p>
      <w:pPr>
        <w:pStyle w:val="Heading1"/>
      </w:pPr>
      <w:r>
        <w:t>Source files and records</w:t>
      </w:r>
    </w:p>
    <w:p>
      <w:pPr>
        <w:pStyle w:val="ListBullet"/>
        <w:spacing w:after="80" w:line="280" w:lineRule="auto"/>
      </w:pPr>
      <w:r>
        <w:t>docs/product-spec.md</w:t>
      </w:r>
    </w:p>
    <w:p>
      <w:pPr>
        <w:pStyle w:val="ListBullet"/>
        <w:spacing w:after="80" w:line="280" w:lineRule="auto"/>
      </w:pPr>
      <w:r>
        <w:t>docs/feature-status.md</w:t>
      </w:r>
    </w:p>
    <w:p>
      <w:pPr>
        <w:pStyle w:val="ListBullet"/>
        <w:spacing w:after="80" w:line="280" w:lineRule="auto"/>
      </w:pPr>
      <w:r>
        <w:t>docs/worklog.md</w:t>
      </w:r>
    </w:p>
    <w:p>
      <w:pPr>
        <w:pStyle w:val="ListBullet"/>
        <w:spacing w:after="80" w:line="280" w:lineRule="auto"/>
      </w:pPr>
      <w:r>
        <w:t>docs/production-release-checklist.md</w:t>
      </w:r>
    </w:p>
    <w:p>
      <w:pPr>
        <w:pStyle w:val="ListBullet"/>
        <w:spacing w:after="80" w:line="280" w:lineRule="auto"/>
      </w:pPr>
      <w:r>
        <w:t>docs/production-approval.md</w:t>
      </w:r>
    </w:p>
    <w:p>
      <w:pPr>
        <w:pStyle w:val="ListBullet"/>
        <w:spacing w:after="80" w:line="280" w:lineRule="auto"/>
      </w:pPr>
      <w:r>
        <w:t>docs/attachments-storage-decision.md</w:t>
      </w:r>
    </w:p>
    <w:p>
      <w:pPr>
        <w:pStyle w:val="ListBullet"/>
        <w:spacing w:after="80" w:line="280" w:lineRule="auto"/>
      </w:pPr>
      <w:r>
        <w:t>src/app/page.tsx</w:t>
      </w:r>
    </w:p>
    <w:p>
      <w:pPr>
        <w:pStyle w:val="ListBullet"/>
        <w:spacing w:after="80" w:line="280" w:lineRule="auto"/>
      </w:pPr>
      <w:r>
        <w:t>src/components/TopNav.tsx</w:t>
      </w:r>
    </w:p>
    <w:p>
      <w:pPr>
        <w:pStyle w:val="ListBullet"/>
        <w:spacing w:after="80" w:line="280" w:lineRule="auto"/>
      </w:pPr>
      <w:r>
        <w:t>src/proxy.ts</w:t>
      </w:r>
    </w:p>
    <w:p>
      <w:pPr>
        <w:pStyle w:val="ListBullet"/>
        <w:spacing w:after="80" w:line="280" w:lineRule="auto"/>
      </w:pPr>
      <w:r>
        <w:t>src/server/blob.ts</w:t>
      </w:r>
    </w:p>
    <w:p>
      <w:pPr>
        <w:pStyle w:val="ListBullet"/>
        <w:spacing w:after="80" w:line="280" w:lineRule="auto"/>
      </w:pPr>
      <w:r>
        <w:t>src/server/current-user.ts</w:t>
      </w:r>
    </w:p>
    <w:p>
      <w:pPr>
        <w:pStyle w:val="ListBullet"/>
        <w:spacing w:after="80" w:line="280" w:lineRule="auto"/>
      </w:pPr>
      <w:r>
        <w:t>src/server/business-day.ts</w:t>
      </w:r>
    </w:p>
    <w:p>
      <w:r>
        <w:br w:type="page"/>
      </w:r>
    </w:p>
    <w:p>
      <w:pPr>
        <w:pStyle w:val="Heading1"/>
      </w:pPr>
      <w:r>
        <w:t>Appendix A — Detailed functional change ledger</w:t>
      </w:r>
    </w:p>
    <w:p>
      <w:r>
        <w:t>This appendix expands the workstream summary into the individual user-facing and domain-level functions implemented or wired during the project. It intentionally excludes credentials and secret values.</w:t>
      </w:r>
    </w:p>
    <w:p>
      <w:pPr>
        <w:pStyle w:val="Heading2"/>
      </w:pPr>
      <w:r>
        <w:t>Identity, access, and restaurant lifecycle</w:t>
      </w:r>
    </w:p>
    <w:p>
      <w:pPr>
        <w:pStyle w:val="ListBullet"/>
        <w:spacing w:after="80" w:line="280" w:lineRule="auto"/>
      </w:pPr>
      <w:r>
        <w:t>Self-service password change at /account/security.</w:t>
      </w:r>
    </w:p>
    <w:p>
      <w:pPr>
        <w:pStyle w:val="ListBullet"/>
        <w:spacing w:after="80" w:line="280" w:lineRule="auto"/>
      </w:pPr>
      <w:r>
        <w:t>Owner-issued one-time password reset flow with post-reset confirmation and first-use guidance.</w:t>
      </w:r>
    </w:p>
    <w:p>
      <w:pPr>
        <w:pStyle w:val="ListBullet"/>
        <w:spacing w:after="80" w:line="280" w:lineRule="auto"/>
      </w:pPr>
      <w:r>
        <w:t>Global identity plus restaurant-membership model while preserving compatibility with existing app_users records.</w:t>
      </w:r>
    </w:p>
    <w:p>
      <w:pPr>
        <w:pStyle w:val="ListBullet"/>
        <w:spacing w:after="80" w:line="280" w:lineRule="auto"/>
      </w:pPr>
      <w:r>
        <w:t>Global-login restaurant selection when KB_MEMBERSHIPS=true.</w:t>
      </w:r>
    </w:p>
    <w:p>
      <w:pPr>
        <w:pStyle w:val="ListBullet"/>
        <w:spacing w:after="80" w:line="280" w:lineRule="auto"/>
      </w:pPr>
      <w:r>
        <w:t>Restaurant switching with signed-session revalidation against active memberships.</w:t>
      </w:r>
    </w:p>
    <w:p>
      <w:pPr>
        <w:pStyle w:val="ListBullet"/>
        <w:spacing w:after="80" w:line="280" w:lineRule="auto"/>
      </w:pPr>
      <w:r>
        <w:t>Owner controls to add restaurant access, list memberships, retire memberships, and restore memberships.</w:t>
      </w:r>
    </w:p>
    <w:p>
      <w:pPr>
        <w:pStyle w:val="ListBullet"/>
        <w:spacing w:after="80" w:line="280" w:lineRule="auto"/>
      </w:pPr>
      <w:r>
        <w:t>Database safeguard preventing removal of the last active owner.</w:t>
      </w:r>
    </w:p>
    <w:p>
      <w:pPr>
        <w:pStyle w:val="ListBullet"/>
        <w:spacing w:after="80" w:line="280" w:lineRule="auto"/>
      </w:pPr>
      <w:r>
        <w:t>Secure invitations for new global accounts: 48-hour expiry, one-use consumption, hashed token storage, database-side username/staff/role validation, and a public /invite acceptance route.</w:t>
      </w:r>
    </w:p>
    <w:p>
      <w:pPr>
        <w:pStyle w:val="ListBullet"/>
        <w:spacing w:after="80" w:line="280" w:lineRule="auto"/>
      </w:pPr>
      <w:r>
        <w:t>Platform provisioning endpoint that atomically creates a restaurant, baseline settings, departments, and the first owner.</w:t>
      </w:r>
    </w:p>
    <w:p>
      <w:pPr>
        <w:pStyle w:val="ListBullet"/>
        <w:spacing w:after="80" w:line="280" w:lineRule="auto"/>
      </w:pPr>
      <w:r>
        <w:t>Database synchronization trigger keeping legacy account actions consistent with global identities and memberships.</w:t>
      </w:r>
    </w:p>
    <w:p>
      <w:pPr>
        <w:pStyle w:val="Heading2"/>
      </w:pPr>
      <w:r>
        <w:t>Purchasing and vendor operations</w:t>
      </w:r>
    </w:p>
    <w:p>
      <w:pPr>
        <w:pStyle w:val="ListBullet"/>
        <w:spacing w:after="80" w:line="280" w:lineRule="auto"/>
      </w:pPr>
      <w:r>
        <w:t>Purchase orders with draft, submit-for-approval, pending, approved, refused, and send states.</w:t>
      </w:r>
    </w:p>
    <w:p>
      <w:pPr>
        <w:pStyle w:val="ListBullet"/>
        <w:spacing w:after="80" w:line="280" w:lineRule="auto"/>
      </w:pPr>
      <w:r>
        <w:t>Approval queue showing amount, requester, reason, and decision controls.</w:t>
      </w:r>
    </w:p>
    <w:p>
      <w:pPr>
        <w:pStyle w:val="ListBullet"/>
        <w:spacing w:after="80" w:line="280" w:lineRule="auto"/>
      </w:pPr>
      <w:r>
        <w:t>Owner setting for disabling PO approval or applying a rupee approval threshold.</w:t>
      </w:r>
    </w:p>
    <w:p>
      <w:pPr>
        <w:pStyle w:val="ListBullet"/>
        <w:spacing w:after="80" w:line="280" w:lineRule="auto"/>
      </w:pPr>
      <w:r>
        <w:t>Pending purchase orders are frozen; refusal restores editability; approval unlocks normal vendor sending.</w:t>
      </w:r>
    </w:p>
    <w:p>
      <w:pPr>
        <w:pStyle w:val="ListBullet"/>
        <w:spacing w:after="80" w:line="280" w:lineRule="auto"/>
      </w:pPr>
      <w:r>
        <w:t>Vendor quotation register with quote headers and lines, dates, and evidence status.</w:t>
      </w:r>
    </w:p>
    <w:p>
      <w:pPr>
        <w:pStyle w:val="ListBullet"/>
        <w:spacing w:after="80" w:line="280" w:lineRule="auto"/>
      </w:pPr>
      <w:r>
        <w:t>Accepted quotation conversion into a draft purchase order while retaining the quote as immutable evidence.</w:t>
      </w:r>
    </w:p>
    <w:p>
      <w:pPr>
        <w:pStyle w:val="ListBullet"/>
        <w:spacing w:after="80" w:line="280" w:lineRule="auto"/>
      </w:pPr>
      <w:r>
        <w:t>Purchase invoice matching with matched, partial, exception, and unmatched states, quantity/rate flags, and comparison snapshots.</w:t>
      </w:r>
    </w:p>
    <w:p>
      <w:pPr>
        <w:pStyle w:val="ListBullet"/>
        <w:spacing w:after="80" w:line="280" w:lineRule="auto"/>
      </w:pPr>
      <w:r>
        <w:t>One-bill purchase CSV import with exact validation, active vendor/item resolution, preview, explicit commit, and delegation to the normal atomic bill transaction.</w:t>
      </w:r>
    </w:p>
    <w:p>
      <w:pPr>
        <w:pStyle w:val="ListBullet"/>
        <w:spacing w:after="80" w:line="280" w:lineRule="auto"/>
      </w:pPr>
      <w:r>
        <w:t>Historical grouped purchase-batch import keyed by vendor and supplier bill number, with duplicate-reference validation, source bill retention, full-file preview, all-or-nothing commit, and rollback probing.</w:t>
      </w:r>
    </w:p>
    <w:p>
      <w:pPr>
        <w:pStyle w:val="ListBullet"/>
        <w:spacing w:after="80" w:line="280" w:lineRule="auto"/>
      </w:pPr>
      <w:r>
        <w:t>Vendor-master import with exact headers, field validation, duplicate detection, sequential category-specific codes, preview, and atomic commit.</w:t>
      </w:r>
    </w:p>
    <w:p>
      <w:pPr>
        <w:pStyle w:val="ListBullet"/>
        <w:spacing w:after="80" w:line="280" w:lineRule="auto"/>
      </w:pPr>
      <w:r>
        <w:t>Item-master import with category, unit, storage location, rate, expiry, duplicate, and existing-name validation, preview, code assignment, and atomic commit.</w:t>
      </w:r>
    </w:p>
    <w:p>
      <w:pPr>
        <w:pStyle w:val="Heading2"/>
      </w:pPr>
      <w:r>
        <w:t>Inventory, stock, and locations</w:t>
      </w:r>
    </w:p>
    <w:p>
      <w:pPr>
        <w:pStyle w:val="ListBullet"/>
        <w:spacing w:after="80" w:line="280" w:lineRule="auto"/>
      </w:pPr>
      <w:r>
        <w:t>Tenant-scoped stock lots with FEFO ordering indexes and append-only signed lot movements.</w:t>
      </w:r>
    </w:p>
    <w:p>
      <w:pPr>
        <w:pStyle w:val="ListBullet"/>
        <w:spacing w:after="80" w:line="280" w:lineRule="auto"/>
      </w:pPr>
      <w:r>
        <w:t>Legacy aggregate on-hand represented by clearly labelled legacy lots rather than fabricated historical FIFO provenance.</w:t>
      </w:r>
    </w:p>
    <w:p>
      <w:pPr>
        <w:pStyle w:val="ListBullet"/>
        <w:spacing w:after="80" w:line="280" w:lineRule="auto"/>
      </w:pPr>
      <w:r>
        <w:t>New purchase receipts create provenance-rich lots.</w:t>
      </w:r>
    </w:p>
    <w:p>
      <w:pPr>
        <w:pStyle w:val="ListBullet"/>
        <w:spacing w:after="80" w:line="280" w:lineRule="auto"/>
      </w:pPr>
      <w:r>
        <w:t>Stock issues allocate earliest-expiry lots inside the issue transaction.</w:t>
      </w:r>
    </w:p>
    <w:p>
      <w:pPr>
        <w:pStyle w:val="ListBullet"/>
        <w:spacing w:after="80" w:line="280" w:lineRule="auto"/>
      </w:pPr>
      <w:r>
        <w:t>Issue reversals restore the recorded lot allocations.</w:t>
      </w:r>
    </w:p>
    <w:p>
      <w:pPr>
        <w:pStyle w:val="ListBullet"/>
        <w:spacing w:after="80" w:line="280" w:lineRule="auto"/>
      </w:pPr>
      <w:r>
        <w:t>Vendor returns post negative movements against the source receipt lot and reject over-returns.</w:t>
      </w:r>
    </w:p>
    <w:p>
      <w:pPr>
        <w:pStyle w:val="ListBullet"/>
        <w:spacing w:after="80" w:line="280" w:lineRule="auto"/>
      </w:pPr>
      <w:r>
        <w:t>Purchase-bill voids reverse all source receipt lots through signed reversal movements.</w:t>
      </w:r>
    </w:p>
    <w:p>
      <w:pPr>
        <w:pStyle w:val="ListBullet"/>
        <w:spacing w:after="80" w:line="280" w:lineRule="auto"/>
      </w:pPr>
      <w:r>
        <w:t>Location transfers record source and destination movements, preserve total stock/value, and validate source availability.</w:t>
      </w:r>
    </w:p>
    <w:p>
      <w:pPr>
        <w:pStyle w:val="ListBullet"/>
        <w:spacing w:after="80" w:line="280" w:lineRule="auto"/>
      </w:pPr>
      <w:r>
        <w:t>Unplaced lots remain eligible for FEFO issue and wastage; transfers still require a real source location.</w:t>
      </w:r>
    </w:p>
    <w:p>
      <w:pPr>
        <w:pStyle w:val="ListBullet"/>
        <w:spacing w:after="80" w:line="280" w:lineRule="auto"/>
      </w:pPr>
      <w:r>
        <w:t>Wastage reversals use their own movement type.</w:t>
      </w:r>
    </w:p>
    <w:p>
      <w:pPr>
        <w:pStyle w:val="ListBullet"/>
        <w:spacing w:after="80" w:line="280" w:lineRule="auto"/>
      </w:pPr>
      <w:r>
        <w:t>Opening-stock CSV import with BOM/quoted-field support, write-free preview, duplicate-free quantities, active-item resolution, and explicit commit through the normal adjustment transaction.</w:t>
      </w:r>
    </w:p>
    <w:p>
      <w:pPr>
        <w:pStyle w:val="ListBullet"/>
        <w:spacing w:after="80" w:line="280" w:lineRule="auto"/>
      </w:pPr>
      <w:r>
        <w:t>Owner-configurable stock-adjustment approval path with frozen request lines, server-captured unit cost, approval/refusal queue, and stock write only after approval.</w:t>
      </w:r>
    </w:p>
    <w:p>
      <w:pPr>
        <w:pStyle w:val="ListBullet"/>
        <w:spacing w:after="80" w:line="280" w:lineRule="auto"/>
      </w:pPr>
      <w:r>
        <w:t>Stock-lot audit and aggregate-to-legacy-lot reconciliation checks.</w:t>
      </w:r>
    </w:p>
    <w:p>
      <w:pPr>
        <w:pStyle w:val="Heading2"/>
      </w:pPr>
      <w:r>
        <w:t>Recipes, kitchen, production, and SOPs</w:t>
      </w:r>
    </w:p>
    <w:p>
      <w:pPr>
        <w:pStyle w:val="ListBullet"/>
        <w:spacing w:after="80" w:line="280" w:lineRule="auto"/>
      </w:pPr>
      <w:r>
        <w:t>Immutable recipe versions with effective dates and history display.</w:t>
      </w:r>
    </w:p>
    <w:p>
      <w:pPr>
        <w:pStyle w:val="ListBullet"/>
        <w:spacing w:after="80" w:line="280" w:lineRule="auto"/>
      </w:pPr>
      <w:r>
        <w:t>Production entries pinned to the recipe version effective on the production date; reversals retain the same pinned version.</w:t>
      </w:r>
    </w:p>
    <w:p>
      <w:pPr>
        <w:pStyle w:val="ListBullet"/>
        <w:spacing w:after="80" w:line="280" w:lineRule="auto"/>
      </w:pPr>
      <w:r>
        <w:t>Recipe-line substitutions restricted to active items, positive quantity ratios, and a specific ingredient line.</w:t>
      </w:r>
    </w:p>
    <w:p>
      <w:pPr>
        <w:pStyle w:val="ListBullet"/>
        <w:spacing w:after="80" w:line="280" w:lineRule="auto"/>
      </w:pPr>
      <w:r>
        <w:t>Substitutions cannot target sub-recipe lines and are included in the next recipe-version snapshot.</w:t>
      </w:r>
    </w:p>
    <w:p>
      <w:pPr>
        <w:pStyle w:val="ListBullet"/>
        <w:spacing w:after="80" w:line="280" w:lineRule="auto"/>
      </w:pPr>
      <w:r>
        <w:t>Production expected-output snapshots and measured-waste inputs.</w:t>
      </w:r>
    </w:p>
    <w:p>
      <w:pPr>
        <w:pStyle w:val="ListBullet"/>
        <w:spacing w:after="80" w:line="280" w:lineRule="auto"/>
      </w:pPr>
      <w:r>
        <w:t>Monthly production variance review showing expected, made, waste, and signed variance by recipe.</w:t>
      </w:r>
    </w:p>
    <w:p>
      <w:pPr>
        <w:pStyle w:val="ListBullet"/>
        <w:spacing w:after="80" w:line="280" w:lineRule="auto"/>
      </w:pPr>
      <w:r>
        <w:t>Manager/owner variance acknowledgement and correction requests requiring a note and preserving the original production record.</w:t>
      </w:r>
    </w:p>
    <w:p>
      <w:pPr>
        <w:pStyle w:val="ListBullet"/>
        <w:spacing w:after="80" w:line="280" w:lineRule="auto"/>
      </w:pPr>
      <w:r>
        <w:t>Mapped POS preparation-demand surface showing dish portions sold for the current month and linking to recipe cards.</w:t>
      </w:r>
    </w:p>
    <w:p>
      <w:pPr>
        <w:pStyle w:val="ListBullet"/>
        <w:spacing w:after="80" w:line="280" w:lineRule="auto"/>
      </w:pPr>
      <w:r>
        <w:t>Preparation demand is planning-only and never creates stock issues or ingredient consumption.</w:t>
      </w:r>
    </w:p>
    <w:p>
      <w:pPr>
        <w:pStyle w:val="ListBullet"/>
        <w:spacing w:after="80" w:line="280" w:lineRule="auto"/>
      </w:pPr>
      <w:r>
        <w:t>Production output remains in the kitchen production/closing value ledger rather than fabricating store lots.</w:t>
      </w:r>
    </w:p>
    <w:p>
      <w:pPr>
        <w:pStyle w:val="ListBullet"/>
        <w:spacing w:after="80" w:line="280" w:lineRule="auto"/>
      </w:pPr>
      <w:r>
        <w:t>Role-specific written SOP guides at /sops/&lt;role&gt;, with live links, role redirects, print-friendly layout, owner access to all guides, and language-cookie support.</w:t>
      </w:r>
    </w:p>
    <w:p>
      <w:pPr>
        <w:pStyle w:val="ListBullet"/>
        <w:spacing w:after="80" w:line="280" w:lineRule="auto"/>
      </w:pPr>
      <w:r>
        <w:t>Reviewed Telugu title, timing, reason, and refusal copy for all role moments, plus global EN/Telugu toggle behavior.</w:t>
      </w:r>
    </w:p>
    <w:p>
      <w:pPr>
        <w:pStyle w:val="Heading2"/>
      </w:pPr>
      <w:r>
        <w:t>Sales, Petpooja, and POS reconciliation</w:t>
      </w:r>
    </w:p>
    <w:p>
      <w:pPr>
        <w:pStyle w:val="ListBullet"/>
        <w:spacing w:after="80" w:line="280" w:lineRule="auto"/>
      </w:pPr>
      <w:r>
        <w:t>Petpooja credential setup is owner-only, stores encrypted credentials, exposes only a non-secret configured indicator, and decrypts only at fetch time.</w:t>
      </w:r>
    </w:p>
    <w:p>
      <w:pPr>
        <w:pStyle w:val="ListBullet"/>
        <w:spacing w:after="80" w:line="280" w:lineRule="auto"/>
      </w:pPr>
      <w:r>
        <w:t>Local demo POS mode works without real provider credentials.</w:t>
      </w:r>
    </w:p>
    <w:p>
      <w:pPr>
        <w:pStyle w:val="ListBullet"/>
        <w:spacing w:after="80" w:line="280" w:lineRule="auto"/>
      </w:pPr>
      <w:r>
        <w:t>Petpooja Get Orders contract rejects successful-looking responses without order_json before normalization.</w:t>
      </w:r>
    </w:p>
    <w:p>
      <w:pPr>
        <w:pStyle w:val="ListBullet"/>
        <w:spacing w:after="80" w:line="280" w:lineRule="auto"/>
      </w:pPr>
      <w:r>
        <w:t>Petpooja fetch retries network errors, HTTP 429, and HTTP 5xx responses up to three attempts; authentication and other client errors fail immediately.</w:t>
      </w:r>
    </w:p>
    <w:p>
      <w:pPr>
        <w:pStyle w:val="ListBullet"/>
        <w:spacing w:after="80" w:line="280" w:lineRule="auto"/>
      </w:pPr>
      <w:r>
        <w:t>Durable POS sync-run records track running, succeeded, and failed attempts, attempt number, and visible errors.</w:t>
      </w:r>
    </w:p>
    <w:p>
      <w:pPr>
        <w:pStyle w:val="ListBullet"/>
        <w:spacing w:after="80" w:line="280" w:lineRule="auto"/>
      </w:pPr>
      <w:r>
        <w:t>Latest-fetch-wins behavior preserves the newest normalized generation and reverses superseded journal postings exactly once.</w:t>
      </w:r>
    </w:p>
    <w:p>
      <w:pPr>
        <w:pStyle w:val="ListBullet"/>
        <w:spacing w:after="80" w:line="280" w:lineRule="auto"/>
      </w:pPr>
      <w:r>
        <w:t>Sales CSV import validates IDs, dates, statuses, amounts, future dates, and duplicates before using the existing immutable POS persistence boundary.</w:t>
      </w:r>
    </w:p>
    <w:p>
      <w:pPr>
        <w:pStyle w:val="ListBullet"/>
        <w:spacing w:after="80" w:line="280" w:lineRule="auto"/>
      </w:pPr>
      <w:r>
        <w:t>Sales CSV preview is write-free; editing the file clears the preview; commit reparses and revalidates.</w:t>
      </w:r>
    </w:p>
    <w:p>
      <w:pPr>
        <w:pStyle w:val="ListBullet"/>
        <w:spacing w:after="80" w:line="280" w:lineRule="auto"/>
      </w:pPr>
      <w:r>
        <w:t>POS stock policy supports explicit none or reconcile behavior and never silently creates stock movements.</w:t>
      </w:r>
    </w:p>
    <w:p>
      <w:pPr>
        <w:pStyle w:val="ListBullet"/>
        <w:spacing w:after="80" w:line="280" w:lineRule="auto"/>
      </w:pPr>
      <w:r>
        <w:t>POS statement CSV preview uses the same parser and validation as commit, with integer paise totals.</w:t>
      </w:r>
    </w:p>
    <w:p>
      <w:pPr>
        <w:pStyle w:val="ListBullet"/>
        <w:spacing w:after="80" w:line="280" w:lineRule="auto"/>
      </w:pPr>
      <w:r>
        <w:t>POS reconciliation compares immutable provider statements against the latest revenue generation without overwriting orders or silently creating corrections.</w:t>
      </w:r>
    </w:p>
    <w:p>
      <w:pPr>
        <w:pStyle w:val="ListBullet"/>
        <w:spacing w:after="80" w:line="280" w:lineRule="auto"/>
      </w:pPr>
      <w:r>
        <w:t>Difference review allows authorized sales/accounts users to acknowledge or request correction with a note while preserving the original statement and sales ledgers.</w:t>
      </w:r>
    </w:p>
    <w:p>
      <w:pPr>
        <w:pStyle w:val="ListBullet"/>
        <w:spacing w:after="80" w:line="280" w:lineRule="auto"/>
      </w:pPr>
      <w:r>
        <w:t>Hourly cron endpoint uses a separate CRON_SECRET, gets tenant IDs through a narrow function, wraps every fetch in tenant context, and preserves sync-run/journal idempotency.</w:t>
      </w:r>
    </w:p>
    <w:p>
      <w:pPr>
        <w:pStyle w:val="Heading2"/>
      </w:pPr>
      <w:r>
        <w:t>Accounting and financial controls</w:t>
      </w:r>
    </w:p>
    <w:p>
      <w:pPr>
        <w:pStyle w:val="ListBullet"/>
        <w:spacing w:after="80" w:line="280" w:lineRule="auto"/>
      </w:pPr>
      <w:r>
        <w:t>Tenant-scoped chart of accounts, immutable journal headers/lines, balance enforcement, closed-period locking, and composite tenant ownership.</w:t>
      </w:r>
    </w:p>
    <w:p>
      <w:pPr>
        <w:pStyle w:val="ListBullet"/>
        <w:spacing w:after="80" w:line="280" w:lineRule="auto"/>
      </w:pPr>
      <w:r>
        <w:t>Owner/accountant chart-of-accounts editor and accountant journal/trial-balance route.</w:t>
      </w:r>
    </w:p>
    <w:p>
      <w:pPr>
        <w:pStyle w:val="ListBullet"/>
        <w:spacing w:after="80" w:line="280" w:lineRule="auto"/>
      </w:pPr>
      <w:r>
        <w:t>Explicit posting mappings; workflows refuse to post when required mappings are absent instead of guessing defaults.</w:t>
      </w:r>
    </w:p>
    <w:p>
      <w:pPr>
        <w:pStyle w:val="ListBullet"/>
        <w:spacing w:after="80" w:line="280" w:lineRule="auto"/>
      </w:pPr>
      <w:r>
        <w:t>Vendor payments post payable liability and selected money-account asset in one transaction.</w:t>
      </w:r>
    </w:p>
    <w:p>
      <w:pPr>
        <w:pStyle w:val="ListBullet"/>
        <w:spacing w:after="80" w:line="280" w:lineRule="auto"/>
      </w:pPr>
      <w:r>
        <w:t>Operating expenses post line-level journals and matching reversals on void.</w:t>
      </w:r>
    </w:p>
    <w:p>
      <w:pPr>
        <w:pStyle w:val="ListBullet"/>
        <w:spacing w:after="80" w:line="280" w:lineRule="auto"/>
      </w:pPr>
      <w:r>
        <w:t>Other income and cash vouchers post using declared purpose and explicit asset or owner-payable mappings.</w:t>
      </w:r>
    </w:p>
    <w:p>
      <w:pPr>
        <w:pStyle w:val="ListBullet"/>
        <w:spacing w:after="80" w:line="280" w:lineRule="auto"/>
      </w:pPr>
      <w:r>
        <w:t>Purchases post inventory, vendor payable, and explicitly configured input tax treatment atomically; voids reverse the exact original lines.</w:t>
      </w:r>
    </w:p>
    <w:p>
      <w:pPr>
        <w:pStyle w:val="ListBullet"/>
        <w:spacing w:after="80" w:line="280" w:lineRule="auto"/>
      </w:pPr>
      <w:r>
        <w:t>Approved payroll payments post wages, net pay, advances, deductions, and withholding liabilities atomically.</w:t>
      </w:r>
    </w:p>
    <w:p>
      <w:pPr>
        <w:pStyle w:val="ListBullet"/>
        <w:spacing w:after="80" w:line="280" w:lineRule="auto"/>
      </w:pPr>
      <w:r>
        <w:t>POS ingest posts revenue by explicit payment-mode asset mappings and sales-revenue account.</w:t>
      </w:r>
    </w:p>
    <w:p>
      <w:pPr>
        <w:pStyle w:val="ListBullet"/>
        <w:spacing w:after="80" w:line="280" w:lineRule="auto"/>
      </w:pPr>
      <w:r>
        <w:t>Journal-backed P&amp;L, cumulative balance sheet, direct cash flow, and indirect cash-flow bridge views.</w:t>
      </w:r>
    </w:p>
    <w:p>
      <w:pPr>
        <w:pStyle w:val="ListBullet"/>
        <w:spacing w:after="80" w:line="280" w:lineRule="auto"/>
      </w:pPr>
      <w:r>
        <w:t>Recurring journal templates and idempotent period runs.</w:t>
      </w:r>
    </w:p>
    <w:p>
      <w:pPr>
        <w:pStyle w:val="ListBullet"/>
        <w:spacing w:after="80" w:line="280" w:lineRule="auto"/>
      </w:pPr>
      <w:r>
        <w:t>Accrual headers, one-post-per-kind records, dated reversals, and balanced journal posting.</w:t>
      </w:r>
    </w:p>
    <w:p>
      <w:pPr>
        <w:pStyle w:val="ListBullet"/>
        <w:spacing w:after="80" w:line="280" w:lineRule="auto"/>
      </w:pPr>
      <w:r>
        <w:t>Fixed-asset register and append-only straight-line depreciation postings with one-post-per-asset-period protection.</w:t>
      </w:r>
    </w:p>
    <w:p>
      <w:pPr>
        <w:pStyle w:val="ListBullet"/>
        <w:spacing w:after="80" w:line="280" w:lineRule="auto"/>
      </w:pPr>
      <w:r>
        <w:t>Provider-neutral withholding CSV export with date range, bases, amounts, regime codes, derived rates, deposit/challan status, and notes; no filing or invented statutory rate.</w:t>
      </w:r>
    </w:p>
    <w:p>
      <w:pPr>
        <w:pStyle w:val="ListBullet"/>
        <w:spacing w:after="80" w:line="280" w:lineRule="auto"/>
      </w:pPr>
      <w:r>
        <w:t>Opening-balance CSV import with preview, one-date scope, exact debit/credit balancing, active-account resolution, immutable batch evidence, and journal posting.</w:t>
      </w:r>
    </w:p>
    <w:p>
      <w:pPr>
        <w:pStyle w:val="Heading2"/>
      </w:pPr>
      <w:r>
        <w:t>Payroll, people, attendance, and leave</w:t>
      </w:r>
    </w:p>
    <w:p>
      <w:pPr>
        <w:pStyle w:val="ListBullet"/>
        <w:spacing w:after="80" w:line="280" w:lineRule="auto"/>
      </w:pPr>
      <w:r>
        <w:t>Effective-dated salary structures with positive-salary validation and history on Payroll → People.</w:t>
      </w:r>
    </w:p>
    <w:p>
      <w:pPr>
        <w:pStyle w:val="ListBullet"/>
        <w:spacing w:after="80" w:line="280" w:lineRule="auto"/>
      </w:pPr>
      <w:r>
        <w:t>Payroll drafts select the latest structure effective by period end while preserving frozen prepared/paid runs.</w:t>
      </w:r>
    </w:p>
    <w:p>
      <w:pPr>
        <w:pStyle w:val="ListBullet"/>
        <w:spacing w:after="80" w:line="280" w:lineRule="auto"/>
      </w:pPr>
      <w:r>
        <w:t>Printable payslips sourced from frozen payroll lines without recalculation or writes.</w:t>
      </w:r>
    </w:p>
    <w:p>
      <w:pPr>
        <w:pStyle w:val="ListBullet"/>
        <w:spacing w:after="80" w:line="280" w:lineRule="auto"/>
      </w:pPr>
      <w:r>
        <w:t>Run-specific payroll CSV export using frozen payroll lines, formula-safe values, and explicit recorded-data semantics.</w:t>
      </w:r>
    </w:p>
    <w:p>
      <w:pPr>
        <w:pStyle w:val="ListBullet"/>
        <w:spacing w:after="80" w:line="280" w:lineRule="auto"/>
      </w:pPr>
      <w:r>
        <w:t>Effective-dated statutory configuration for jurisdiction, PF/ESI percentage/cap, TDS regime, and source notes with immutable history.</w:t>
      </w:r>
    </w:p>
    <w:p>
      <w:pPr>
        <w:pStyle w:val="ListBullet"/>
        <w:spacing w:after="80" w:line="280" w:lineRule="auto"/>
      </w:pPr>
      <w:r>
        <w:t>PF/ESI calculation helper using configured percentages and caps; no fabricated statutory defaults.</w:t>
      </w:r>
    </w:p>
    <w:p>
      <w:pPr>
        <w:pStyle w:val="ListBullet"/>
        <w:spacing w:after="80" w:line="280" w:lineRule="auto"/>
      </w:pPr>
      <w:r>
        <w:t>Validated statutory input rejects invalid calendar dates and PF/ESI values above 100%.</w:t>
      </w:r>
    </w:p>
    <w:p>
      <w:pPr>
        <w:pStyle w:val="ListBullet"/>
        <w:spacing w:after="80" w:line="280" w:lineRule="auto"/>
      </w:pPr>
      <w:r>
        <w:t>Tenant-scoped leave policies and effective staff assignments.</w:t>
      </w:r>
    </w:p>
    <w:p>
      <w:pPr>
        <w:pStyle w:val="ListBullet"/>
        <w:spacing w:after="80" w:line="280" w:lineRule="auto"/>
      </w:pPr>
      <w:r>
        <w:t>Leave requests with overlap-safe pending/approved states, decision trail, manager/owner queue, cross-year refusal, and safe attendance integration.</w:t>
      </w:r>
    </w:p>
    <w:p>
      <w:pPr>
        <w:pStyle w:val="ListBullet"/>
        <w:spacing w:after="80" w:line="280" w:lineRule="auto"/>
      </w:pPr>
      <w:r>
        <w:t>Approved leave writes one leave attendance fact per day without overwriting present or half-day marks.</w:t>
      </w:r>
    </w:p>
    <w:p>
      <w:pPr>
        <w:pStyle w:val="ListBullet"/>
        <w:spacing w:after="80" w:line="280" w:lineRule="auto"/>
      </w:pPr>
      <w:r>
        <w:t>Formal carry-forward ledger with source-year policy bounds, approved-leave bounds, tenant locking, and no edit grant.</w:t>
      </w:r>
    </w:p>
    <w:p>
      <w:pPr>
        <w:pStyle w:val="ListBullet"/>
        <w:spacing w:after="80" w:line="280" w:lineRule="auto"/>
      </w:pPr>
      <w:r>
        <w:t>Holiday calendar with explicit paid/unpaid policy; paid holidays apply only when no attendance mark exists.</w:t>
      </w:r>
    </w:p>
    <w:p>
      <w:pPr>
        <w:pStyle w:val="ListBullet"/>
        <w:spacing w:after="80" w:line="280" w:lineRule="auto"/>
      </w:pPr>
      <w:r>
        <w:t>Validated staff CSV import with exact headers, employment/pay modes, amounts, dates, section references, duplicate checks, sequential employee codes, preview, and transaction-time revalidation.</w:t>
      </w:r>
    </w:p>
    <w:p>
      <w:pPr>
        <w:pStyle w:val="Heading2"/>
      </w:pPr>
      <w:r>
        <w:t>Evidence, attachments, and imports</w:t>
      </w:r>
    </w:p>
    <w:p>
      <w:pPr>
        <w:pStyle w:val="ListBullet"/>
        <w:spacing w:after="80" w:line="280" w:lineRule="auto"/>
      </w:pPr>
      <w:r>
        <w:t>Private attachment storage boundary supports local filesystem storage and the existing Vercel Blob backend.</w:t>
      </w:r>
    </w:p>
    <w:p>
      <w:pPr>
        <w:pStyle w:val="ListBullet"/>
        <w:spacing w:after="80" w:line="280" w:lineRule="auto"/>
      </w:pPr>
      <w:r>
        <w:t>Authenticated streaming attachment reads with restaurant-first object keys.</w:t>
      </w:r>
    </w:p>
    <w:p>
      <w:pPr>
        <w:pStyle w:val="ListBullet"/>
        <w:spacing w:after="80" w:line="280" w:lineRule="auto"/>
      </w:pPr>
      <w:r>
        <w:t>Attachment lifecycle metadata supports active/archived status and optional retention dates.</w:t>
      </w:r>
    </w:p>
    <w:p>
      <w:pPr>
        <w:pStyle w:val="ListBullet"/>
        <w:spacing w:after="80" w:line="280" w:lineRule="auto"/>
      </w:pPr>
      <w:r>
        <w:t>Manager/owner archive controls are metadata-only; archived blobs remain available for audit and are not destructively deleted.</w:t>
      </w:r>
    </w:p>
    <w:p>
      <w:pPr>
        <w:pStyle w:val="ListBullet"/>
        <w:spacing w:after="80" w:line="280" w:lineRule="auto"/>
      </w:pPr>
      <w:r>
        <w:t>Meter saves return immutable reading IDs and optionally attach evidence without delaying or rolling back the reading.</w:t>
      </w:r>
    </w:p>
    <w:p>
      <w:pPr>
        <w:pStyle w:val="ListBullet"/>
        <w:spacing w:after="80" w:line="280" w:lineRule="auto"/>
      </w:pPr>
      <w:r>
        <w:t>Shared RFC-4180 CSV parser handles BOMs, quoted commas, embedded newlines, and malformed unclosed quotes consistently.</w:t>
      </w:r>
    </w:p>
    <w:p>
      <w:pPr>
        <w:pStyle w:val="ListBullet"/>
        <w:spacing w:after="80" w:line="280" w:lineRule="auto"/>
      </w:pPr>
      <w:r>
        <w:t>Payroll, staff, vendor, item, opening stock, purchase, sales, POS, chart-account, and opening-balance imports all use preview-before-commit contracts where appropriate.</w:t>
      </w:r>
    </w:p>
    <w:p>
      <w:pPr>
        <w:pStyle w:val="ListBullet"/>
        <w:spacing w:after="80" w:line="280" w:lineRule="auto"/>
      </w:pPr>
      <w:r>
        <w:t>Preview results report row counts, resolved references, proposed codes, totals, or approval mode without database writes.</w:t>
      </w:r>
    </w:p>
    <w:p>
      <w:pPr>
        <w:pStyle w:val="ListBullet"/>
        <w:spacing w:after="80" w:line="280" w:lineRule="auto"/>
      </w:pPr>
      <w:r>
        <w:t>Commit actions reparse and revalidate inside the transaction so stale previews cannot bypass validation.</w:t>
      </w:r>
    </w:p>
    <w:p>
      <w:pPr>
        <w:pStyle w:val="Heading2"/>
      </w:pPr>
      <w:r>
        <w:t>User interface and operational reliability</w:t>
      </w:r>
    </w:p>
    <w:p>
      <w:pPr>
        <w:pStyle w:val="ListBullet"/>
        <w:spacing w:after="80" w:line="280" w:lineRule="auto"/>
      </w:pPr>
      <w:r>
        <w:t>Production landing page describing the complete KitchenBooks workflow and role responsibilities.</w:t>
      </w:r>
    </w:p>
    <w:p>
      <w:pPr>
        <w:pStyle w:val="ListBullet"/>
        <w:spacing w:after="80" w:line="280" w:lineRule="auto"/>
      </w:pPr>
      <w:r>
        <w:t>Public root route while protected application pages still require authentication.</w:t>
      </w:r>
    </w:p>
    <w:p>
      <w:pPr>
        <w:pStyle w:val="ListBullet"/>
        <w:spacing w:after="80" w:line="280" w:lineRule="auto"/>
      </w:pPr>
      <w:r>
        <w:t>Authenticated root route continues to redirect to the user’s role dashboard.</w:t>
      </w:r>
    </w:p>
    <w:p>
      <w:pPr>
        <w:pStyle w:val="ListBullet"/>
        <w:spacing w:after="80" w:line="280" w:lineRule="auto"/>
      </w:pPr>
      <w:r>
        <w:t>Role-specific navigation and access-denied states.</w:t>
      </w:r>
    </w:p>
    <w:p>
      <w:pPr>
        <w:pStyle w:val="ListBullet"/>
        <w:spacing w:after="80" w:line="280" w:lineRule="auto"/>
      </w:pPr>
      <w:r>
        <w:t>Build-boundary fixes for async Server Actions and server-only modules.</w:t>
      </w:r>
    </w:p>
    <w:p>
      <w:pPr>
        <w:pStyle w:val="ListBullet"/>
        <w:spacing w:after="80" w:line="280" w:lineRule="auto"/>
      </w:pPr>
      <w:r>
        <w:t>Environment onboarding template separating required runtime values, temporary bootstrap PIN, local demo POS mode, and optional production capabilities.</w:t>
      </w:r>
    </w:p>
    <w:p>
      <w:pPr>
        <w:pStyle w:val="ListBullet"/>
        <w:spacing w:after="80" w:line="280" w:lineRule="auto"/>
      </w:pPr>
      <w:r>
        <w:t>Production preflight fails closed for missing TLS, application secrets, private storage, malformed membership configuration, default PostgreSQL owner URLs, or demo POS mode in production.</w:t>
      </w:r>
    </w:p>
    <w:p>
      <w:pPr>
        <w:pStyle w:val="ListBullet"/>
        <w:spacing w:after="80" w:line="280" w:lineRule="auto"/>
      </w:pPr>
      <w:r>
        <w:t>Migration inventory, migration-reference, migration-safety, deployment, schema, tenancy, role-matrix, and stock-lot audits are wired into the consolidated gates command.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KitchenBooks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8"/>
      </w:rPr>
      <w:t>KitchenBooks  |  Engineering Change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