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AWS CloudFormation: Intrinsic Functions</w:t>
      </w:r>
    </w:p>
    <w:p>
      <w:r>
        <w:t>In AWS CloudFormation, intrinsic functions are used to assign values to properties that are not available until runtime. These functions allow you to reference other resources, perform substitutions, join strings, and more.</w:t>
      </w:r>
    </w:p>
    <w:p>
      <w:pPr>
        <w:pStyle w:val="Heading2"/>
      </w:pPr>
      <w:r>
        <w:t>🧩 Syntax &amp; Common Intrinsic Functions</w:t>
      </w:r>
    </w:p>
    <w:tbl>
      <w:tblPr>
        <w:tblStyle w:val="TableGrid"/>
        <w:tblW w:type="auto" w:w="0"/>
        <w:tblLook w:firstColumn="1" w:firstRow="1" w:lastColumn="0" w:lastRow="0" w:noHBand="0" w:noVBand="1" w:val="04A0"/>
      </w:tblPr>
      <w:tblGrid>
        <w:gridCol w:w="4320"/>
        <w:gridCol w:w="4320"/>
      </w:tblGrid>
      <w:tr>
        <w:tc>
          <w:tcPr>
            <w:tcW w:type="dxa" w:w="4320"/>
          </w:tcPr>
          <w:p>
            <w:r>
              <w:t>Function</w:t>
            </w:r>
          </w:p>
        </w:tc>
        <w:tc>
          <w:tcPr>
            <w:tcW w:type="dxa" w:w="4320"/>
          </w:tcPr>
          <w:p>
            <w:r>
              <w:t>Description</w:t>
            </w:r>
          </w:p>
        </w:tc>
      </w:tr>
      <w:tr>
        <w:tc>
          <w:tcPr>
            <w:tcW w:type="dxa" w:w="4320"/>
          </w:tcPr>
          <w:p>
            <w:r>
              <w:t>!Ref</w:t>
            </w:r>
          </w:p>
        </w:tc>
        <w:tc>
          <w:tcPr>
            <w:tcW w:type="dxa" w:w="4320"/>
          </w:tcPr>
          <w:p>
            <w:r>
              <w:t>Returns the value of the specified parameter or resource.</w:t>
            </w:r>
          </w:p>
        </w:tc>
      </w:tr>
      <w:tr>
        <w:tc>
          <w:tcPr>
            <w:tcW w:type="dxa" w:w="4320"/>
          </w:tcPr>
          <w:p>
            <w:r>
              <w:t>!Sub</w:t>
            </w:r>
          </w:p>
        </w:tc>
        <w:tc>
          <w:tcPr>
            <w:tcW w:type="dxa" w:w="4320"/>
          </w:tcPr>
          <w:p>
            <w:r>
              <w:t>Substitutes variables in an input string with their values.</w:t>
            </w:r>
          </w:p>
        </w:tc>
      </w:tr>
      <w:tr>
        <w:tc>
          <w:tcPr>
            <w:tcW w:type="dxa" w:w="4320"/>
          </w:tcPr>
          <w:p>
            <w:r>
              <w:t>!GetAtt</w:t>
            </w:r>
          </w:p>
        </w:tc>
        <w:tc>
          <w:tcPr>
            <w:tcW w:type="dxa" w:w="4320"/>
          </w:tcPr>
          <w:p>
            <w:r>
              <w:t>Returns the value of an attribute from a resource.</w:t>
            </w:r>
          </w:p>
        </w:tc>
      </w:tr>
      <w:tr>
        <w:tc>
          <w:tcPr>
            <w:tcW w:type="dxa" w:w="4320"/>
          </w:tcPr>
          <w:p>
            <w:r>
              <w:t>!Join</w:t>
            </w:r>
          </w:p>
        </w:tc>
        <w:tc>
          <w:tcPr>
            <w:tcW w:type="dxa" w:w="4320"/>
          </w:tcPr>
          <w:p>
            <w:r>
              <w:t>Joins a list of values into a single string with a specified delimiter.</w:t>
            </w:r>
          </w:p>
        </w:tc>
      </w:tr>
      <w:tr>
        <w:tc>
          <w:tcPr>
            <w:tcW w:type="dxa" w:w="4320"/>
          </w:tcPr>
          <w:p>
            <w:r>
              <w:t>!If</w:t>
            </w:r>
          </w:p>
        </w:tc>
        <w:tc>
          <w:tcPr>
            <w:tcW w:type="dxa" w:w="4320"/>
          </w:tcPr>
          <w:p>
            <w:r>
              <w:t>Returns one value if the condition is true, another if false.</w:t>
            </w:r>
          </w:p>
        </w:tc>
      </w:tr>
      <w:tr>
        <w:tc>
          <w:tcPr>
            <w:tcW w:type="dxa" w:w="4320"/>
          </w:tcPr>
          <w:p>
            <w:r>
              <w:t>!Equals</w:t>
            </w:r>
          </w:p>
        </w:tc>
        <w:tc>
          <w:tcPr>
            <w:tcW w:type="dxa" w:w="4320"/>
          </w:tcPr>
          <w:p>
            <w:r>
              <w:t>Compares if two values are equal.</w:t>
            </w:r>
          </w:p>
        </w:tc>
      </w:tr>
      <w:tr>
        <w:tc>
          <w:tcPr>
            <w:tcW w:type="dxa" w:w="4320"/>
          </w:tcPr>
          <w:p>
            <w:r>
              <w:t>!FindInMap</w:t>
            </w:r>
          </w:p>
        </w:tc>
        <w:tc>
          <w:tcPr>
            <w:tcW w:type="dxa" w:w="4320"/>
          </w:tcPr>
          <w:p>
            <w:r>
              <w:t>Returns a named value from a specific key in a mapping.</w:t>
            </w:r>
          </w:p>
        </w:tc>
      </w:tr>
      <w:tr>
        <w:tc>
          <w:tcPr>
            <w:tcW w:type="dxa" w:w="4320"/>
          </w:tcPr>
          <w:p>
            <w:r>
              <w:t>!ImportValue</w:t>
            </w:r>
          </w:p>
        </w:tc>
        <w:tc>
          <w:tcPr>
            <w:tcW w:type="dxa" w:w="4320"/>
          </w:tcPr>
          <w:p>
            <w:r>
              <w:t>Returns the value of an output exported by another stack.</w:t>
            </w:r>
          </w:p>
        </w:tc>
      </w:tr>
      <w:tr>
        <w:tc>
          <w:tcPr>
            <w:tcW w:type="dxa" w:w="4320"/>
          </w:tcPr>
          <w:p>
            <w:r>
              <w:t>!Select</w:t>
            </w:r>
          </w:p>
        </w:tc>
        <w:tc>
          <w:tcPr>
            <w:tcW w:type="dxa" w:w="4320"/>
          </w:tcPr>
          <w:p>
            <w:r>
              <w:t>Returns a single object from a list of objects by index.</w:t>
            </w:r>
          </w:p>
        </w:tc>
      </w:tr>
      <w:tr>
        <w:tc>
          <w:tcPr>
            <w:tcW w:type="dxa" w:w="4320"/>
          </w:tcPr>
          <w:p>
            <w:r>
              <w:t>!Split</w:t>
            </w:r>
          </w:p>
        </w:tc>
        <w:tc>
          <w:tcPr>
            <w:tcW w:type="dxa" w:w="4320"/>
          </w:tcPr>
          <w:p>
            <w:r>
              <w:t>Splits a string into a list of values based on a delimiter.</w:t>
            </w:r>
          </w:p>
        </w:tc>
      </w:tr>
    </w:tbl>
    <w:p>
      <w:pPr>
        <w:pStyle w:val="Heading2"/>
      </w:pPr>
      <w:r>
        <w:t>📄 Example in a CloudFormation Template</w:t>
      </w:r>
    </w:p>
    <w:p>
      <w:r>
        <w:t>AWSTemplateFormatVersion: '2010-09-09'</w:t>
        <w:br/>
        <w:t>Description: Example using Intrinsic Functions</w:t>
        <w:br/>
        <w:br/>
        <w:t>Resources:</w:t>
        <w:br/>
        <w:t xml:space="preserve">  MyBucket:</w:t>
        <w:br/>
        <w:t xml:space="preserve">    Type: AWS::S3::Bucket</w:t>
        <w:br/>
        <w:t xml:space="preserve">    Properties:</w:t>
        <w:br/>
        <w:t xml:space="preserve">      BucketName: !Sub "my-bucket-${AWS::Region}-${AWS::AccountId}"</w:t>
        <w:br/>
        <w:br/>
        <w:t xml:space="preserve">  MyQueue:</w:t>
        <w:br/>
        <w:t xml:space="preserve">    Type: AWS::SQS::Queue</w:t>
        <w:br/>
        <w:t xml:space="preserve">    Properties:</w:t>
        <w:br/>
        <w:t xml:space="preserve">      QueueName: !Join ["-", ["myqueue", !Ref "AWS::Region"]]</w:t>
        <w:br/>
      </w:r>
    </w:p>
    <w:p>
      <w:pPr>
        <w:pStyle w:val="Heading2"/>
      </w:pPr>
      <w:r>
        <w:t>✅ Explanation</w:t>
      </w:r>
    </w:p>
    <w:p>
      <w:r>
        <w:t>- !Sub is used to dynamically generate the bucket name using Region and AccountId.</w:t>
        <w:br/>
        <w:t>- !Join is used to construct a queue name by joining 'myqueue' and the Region with a hyphen.</w:t>
        <w:br/>
        <w:t>- !Ref is used to refer to AWS pseudo parameters.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