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SWYNEX – Task 2</w:t>
      </w:r>
    </w:p>
    <w:p>
      <w:pPr>
        <w:pStyle w:val="Heading1"/>
      </w:pPr>
      <w:r>
        <w:t>Exploratory Data Analysis Report</w:t>
      </w:r>
    </w:p>
    <w:p>
      <w:r>
        <w:t>Dataset: Cleaned HR Employee Dataset from Task 1</w:t>
      </w:r>
    </w:p>
    <w:p>
      <w:pPr>
        <w:pStyle w:val="Heading2"/>
      </w:pPr>
      <w:r>
        <w:t>1. Objective</w:t>
      </w:r>
    </w:p>
    <w:p>
      <w:r>
        <w:t>The objective is to explore the cleaned dataset, calculate descriptive statistics, identify patterns and anomalies, create visualizations, and communicate useful insights.</w:t>
      </w:r>
    </w:p>
    <w:p>
      <w:pPr>
        <w:pStyle w:val="Heading2"/>
      </w:pPr>
      <w:r>
        <w:t>2. Dataset Overview</w:t>
      </w:r>
    </w:p>
    <w:p>
      <w:r>
        <w:t>The analysis uses 500 cleaned employee records and 15 original analytical fields from Task 1. An AttritionFlag and AgeGroup were created only as analysis helpers.</w:t>
      </w:r>
    </w:p>
    <w:p>
      <w:r>
        <w:t>The dataset is a controlled demonstration sample. Findings describe this sample only and should not be interpreted as actual workforce statistics.</w:t>
      </w:r>
    </w:p>
    <w:p>
      <w:pPr>
        <w:pStyle w:val="Heading2"/>
      </w:pPr>
      <w:r>
        <w:t>3. Important Statistics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employees</w:t>
            </w:r>
          </w:p>
        </w:tc>
        <w:tc>
          <w:tcPr>
            <w:tcW w:type="dxa" w:w="4320"/>
          </w:tcPr>
          <w:p>
            <w:r>
              <w:t>500.0</w:t>
            </w:r>
          </w:p>
        </w:tc>
      </w:tr>
      <w:tr>
        <w:tc>
          <w:tcPr>
            <w:tcW w:type="dxa" w:w="4320"/>
          </w:tcPr>
          <w:p>
            <w:r>
              <w:t>Attrition cases</w:t>
            </w:r>
          </w:p>
        </w:tc>
        <w:tc>
          <w:tcPr>
            <w:tcW w:type="dxa" w:w="4320"/>
          </w:tcPr>
          <w:p>
            <w:r>
              <w:t>67.0</w:t>
            </w:r>
          </w:p>
        </w:tc>
      </w:tr>
      <w:tr>
        <w:tc>
          <w:tcPr>
            <w:tcW w:type="dxa" w:w="4320"/>
          </w:tcPr>
          <w:p>
            <w:r>
              <w:t>Employees retained</w:t>
            </w:r>
          </w:p>
        </w:tc>
        <w:tc>
          <w:tcPr>
            <w:tcW w:type="dxa" w:w="4320"/>
          </w:tcPr>
          <w:p>
            <w:r>
              <w:t>433.0</w:t>
            </w:r>
          </w:p>
        </w:tc>
      </w:tr>
      <w:tr>
        <w:tc>
          <w:tcPr>
            <w:tcW w:type="dxa" w:w="4320"/>
          </w:tcPr>
          <w:p>
            <w:r>
              <w:t>Overall attrition rate (%)</w:t>
            </w:r>
          </w:p>
        </w:tc>
        <w:tc>
          <w:tcPr>
            <w:tcW w:type="dxa" w:w="4320"/>
          </w:tcPr>
          <w:p>
            <w:r>
              <w:t>13.4</w:t>
            </w:r>
          </w:p>
        </w:tc>
      </w:tr>
      <w:tr>
        <w:tc>
          <w:tcPr>
            <w:tcW w:type="dxa" w:w="4320"/>
          </w:tcPr>
          <w:p>
            <w:r>
              <w:t>Average age</w:t>
            </w:r>
          </w:p>
        </w:tc>
        <w:tc>
          <w:tcPr>
            <w:tcW w:type="dxa" w:w="4320"/>
          </w:tcPr>
          <w:p>
            <w:r>
              <w:t>36.46</w:t>
            </w:r>
          </w:p>
        </w:tc>
      </w:tr>
      <w:tr>
        <w:tc>
          <w:tcPr>
            <w:tcW w:type="dxa" w:w="4320"/>
          </w:tcPr>
          <w:p>
            <w:r>
              <w:t>Average monthly income</w:t>
            </w:r>
          </w:p>
        </w:tc>
        <w:tc>
          <w:tcPr>
            <w:tcW w:type="dxa" w:w="4320"/>
          </w:tcPr>
          <w:p>
            <w:r>
              <w:t>6643.35</w:t>
            </w:r>
          </w:p>
        </w:tc>
      </w:tr>
      <w:tr>
        <w:tc>
          <w:tcPr>
            <w:tcW w:type="dxa" w:w="4320"/>
          </w:tcPr>
          <w:p>
            <w:r>
              <w:t>Median monthly income</w:t>
            </w:r>
          </w:p>
        </w:tc>
        <w:tc>
          <w:tcPr>
            <w:tcW w:type="dxa" w:w="4320"/>
          </w:tcPr>
          <w:p>
            <w:r>
              <w:t>6514.0</w:t>
            </w:r>
          </w:p>
        </w:tc>
      </w:tr>
      <w:tr>
        <w:tc>
          <w:tcPr>
            <w:tcW w:type="dxa" w:w="4320"/>
          </w:tcPr>
          <w:p>
            <w:r>
              <w:t>Average years at company</w:t>
            </w:r>
          </w:p>
        </w:tc>
        <w:tc>
          <w:tcPr>
            <w:tcW w:type="dxa" w:w="4320"/>
          </w:tcPr>
          <w:p>
            <w:r>
              <w:t>6.28</w:t>
            </w:r>
          </w:p>
        </w:tc>
      </w:tr>
      <w:tr>
        <w:tc>
          <w:tcPr>
            <w:tcW w:type="dxa" w:w="4320"/>
          </w:tcPr>
          <w:p>
            <w:r>
              <w:t>Average job satisfaction</w:t>
            </w:r>
          </w:p>
        </w:tc>
        <w:tc>
          <w:tcPr>
            <w:tcW w:type="dxa" w:w="4320"/>
          </w:tcPr>
          <w:p>
            <w:r>
              <w:t>2.57</w:t>
            </w:r>
          </w:p>
        </w:tc>
      </w:tr>
      <w:tr>
        <w:tc>
          <w:tcPr>
            <w:tcW w:type="dxa" w:w="4320"/>
          </w:tcPr>
          <w:p>
            <w:r>
              <w:t>Average work-life balance</w:t>
            </w:r>
          </w:p>
        </w:tc>
        <w:tc>
          <w:tcPr>
            <w:tcW w:type="dxa" w:w="4320"/>
          </w:tcPr>
          <w:p>
            <w:r>
              <w:t>2.5</w:t>
            </w:r>
          </w:p>
        </w:tc>
      </w:tr>
    </w:tbl>
    <w:p>
      <w:pPr>
        <w:pStyle w:val="Heading2"/>
      </w:pPr>
      <w:r>
        <w:t>4. Key Analyses</w:t>
      </w:r>
    </w:p>
    <w:p>
      <w:pPr>
        <w:pStyle w:val="Heading3"/>
      </w:pPr>
      <w:r>
        <w:t>Attrition</w:t>
      </w:r>
    </w:p>
    <w:p>
      <w:r>
        <w:t>67 of 500 employees are classified as attrition cases, giving an overall rate of 13.4%.</w:t>
      </w:r>
    </w:p>
    <w:p>
      <w:pPr>
        <w:pStyle w:val="Heading3"/>
      </w:pPr>
      <w:r>
        <w:t>Overtime</w:t>
      </w:r>
    </w:p>
    <w:p>
      <w:r>
        <w:t>Attrition is 22.4% among overtime employees versus 9.5% among non-overtime employees.</w:t>
      </w:r>
    </w:p>
    <w:p>
      <w:pPr>
        <w:pStyle w:val="Heading3"/>
      </w:pPr>
      <w:r>
        <w:t>Department</w:t>
      </w:r>
    </w:p>
    <w:p>
      <w:r>
        <w:t>Human Resources has the highest department-level attrition rate at 25.0%.</w:t>
      </w:r>
    </w:p>
    <w:p>
      <w:pPr>
        <w:pStyle w:val="Heading3"/>
      </w:pPr>
      <w:r>
        <w:t>Job Role</w:t>
      </w:r>
    </w:p>
    <w:p>
      <w:r>
        <w:t>Human Resources has the highest observed job-role attrition rate at 37.5%; the group is relatively small, so this percentage needs caution.</w:t>
      </w:r>
    </w:p>
    <w:p>
      <w:pPr>
        <w:pStyle w:val="Heading3"/>
      </w:pPr>
      <w:r>
        <w:t>Age</w:t>
      </w:r>
    </w:p>
    <w:p>
      <w:r>
        <w:t>The highest age-group attrition rate is observed for 26-35 at 16.3%.</w:t>
      </w:r>
    </w:p>
    <w:p>
      <w:pPr>
        <w:pStyle w:val="Heading3"/>
      </w:pPr>
      <w:r>
        <w:t>Tenure</w:t>
      </w:r>
    </w:p>
    <w:p>
      <w:r>
        <w:t>Average tenure is 5.33 years for attrition cases and 6.42 years for non-attrition cases.</w:t>
      </w:r>
    </w:p>
    <w:p>
      <w:pPr>
        <w:pStyle w:val="Heading3"/>
      </w:pPr>
      <w:r>
        <w:t>Income</w:t>
      </w:r>
    </w:p>
    <w:p>
      <w:r>
        <w:t>Median monthly income is 6,469 for attrition cases and 6,514 for non-attrition cases, indicating little separation by income alone.</w:t>
      </w:r>
    </w:p>
    <w:p>
      <w:pPr>
        <w:pStyle w:val="Heading3"/>
      </w:pPr>
      <w:r>
        <w:t>Work-Life Balance</w:t>
      </w:r>
    </w:p>
    <w:p>
      <w:r>
        <w:t>Work-life balance level 4 has 8.8% attrition compared with 16.1% at level 2 in this sample.</w:t>
      </w:r>
    </w:p>
    <w:p>
      <w:pPr>
        <w:pStyle w:val="Heading2"/>
      </w:pPr>
      <w:r>
        <w:t>5. Charts</w:t>
      </w:r>
    </w:p>
    <w:p>
      <w:r>
        <w:t>01 Attrition Distribution</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attrition_distribution.png"/>
                    <pic:cNvPicPr/>
                  </pic:nvPicPr>
                  <pic:blipFill>
                    <a:blip r:embed="rId9"/>
                    <a:stretch>
                      <a:fillRect/>
                    </a:stretch>
                  </pic:blipFill>
                  <pic:spPr>
                    <a:xfrm>
                      <a:off x="0" y="0"/>
                      <a:ext cx="5669280" cy="3543300"/>
                    </a:xfrm>
                    <a:prstGeom prst="rect"/>
                  </pic:spPr>
                </pic:pic>
              </a:graphicData>
            </a:graphic>
          </wp:inline>
        </w:drawing>
      </w:r>
    </w:p>
    <w:p>
      <w:r>
        <w:t>02 Overtime Attrition</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overtime_attrition.png"/>
                    <pic:cNvPicPr/>
                  </pic:nvPicPr>
                  <pic:blipFill>
                    <a:blip r:embed="rId10"/>
                    <a:stretch>
                      <a:fillRect/>
                    </a:stretch>
                  </pic:blipFill>
                  <pic:spPr>
                    <a:xfrm>
                      <a:off x="0" y="0"/>
                      <a:ext cx="5669280" cy="3543300"/>
                    </a:xfrm>
                    <a:prstGeom prst="rect"/>
                  </pic:spPr>
                </pic:pic>
              </a:graphicData>
            </a:graphic>
          </wp:inline>
        </w:drawing>
      </w:r>
    </w:p>
    <w:p>
      <w:r>
        <w:t>03 Department Attrition</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department_attrition.png"/>
                    <pic:cNvPicPr/>
                  </pic:nvPicPr>
                  <pic:blipFill>
                    <a:blip r:embed="rId11"/>
                    <a:stretch>
                      <a:fillRect/>
                    </a:stretch>
                  </pic:blipFill>
                  <pic:spPr>
                    <a:xfrm>
                      <a:off x="0" y="0"/>
                      <a:ext cx="5669280" cy="3543300"/>
                    </a:xfrm>
                    <a:prstGeom prst="rect"/>
                  </pic:spPr>
                </pic:pic>
              </a:graphicData>
            </a:graphic>
          </wp:inline>
        </w:drawing>
      </w:r>
    </w:p>
    <w:p>
      <w:r>
        <w:t>04 Jobrole Attrition</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jobrole_attrition.png"/>
                    <pic:cNvPicPr/>
                  </pic:nvPicPr>
                  <pic:blipFill>
                    <a:blip r:embed="rId12"/>
                    <a:stretch>
                      <a:fillRect/>
                    </a:stretch>
                  </pic:blipFill>
                  <pic:spPr>
                    <a:xfrm>
                      <a:off x="0" y="0"/>
                      <a:ext cx="5669280" cy="3543300"/>
                    </a:xfrm>
                    <a:prstGeom prst="rect"/>
                  </pic:spPr>
                </pic:pic>
              </a:graphicData>
            </a:graphic>
          </wp:inline>
        </w:drawing>
      </w:r>
    </w:p>
    <w:p>
      <w:r>
        <w:t>05 Agegroup Attrition</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agegroup_attrition.png"/>
                    <pic:cNvPicPr/>
                  </pic:nvPicPr>
                  <pic:blipFill>
                    <a:blip r:embed="rId13"/>
                    <a:stretch>
                      <a:fillRect/>
                    </a:stretch>
                  </pic:blipFill>
                  <pic:spPr>
                    <a:xfrm>
                      <a:off x="0" y="0"/>
                      <a:ext cx="5669280" cy="3543300"/>
                    </a:xfrm>
                    <a:prstGeom prst="rect"/>
                  </pic:spPr>
                </pic:pic>
              </a:graphicData>
            </a:graphic>
          </wp:inline>
        </w:drawing>
      </w:r>
    </w:p>
    <w:p>
      <w:r>
        <w:t>06 Income Distribution</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income_distribution.png"/>
                    <pic:cNvPicPr/>
                  </pic:nvPicPr>
                  <pic:blipFill>
                    <a:blip r:embed="rId14"/>
                    <a:stretch>
                      <a:fillRect/>
                    </a:stretch>
                  </pic:blipFill>
                  <pic:spPr>
                    <a:xfrm>
                      <a:off x="0" y="0"/>
                      <a:ext cx="5669280" cy="3543300"/>
                    </a:xfrm>
                    <a:prstGeom prst="rect"/>
                  </pic:spPr>
                </pic:pic>
              </a:graphicData>
            </a:graphic>
          </wp:inline>
        </w:drawing>
      </w:r>
    </w:p>
    <w:p>
      <w:r>
        <w:t>07 Tenure Attrition</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tenure_attrition.png"/>
                    <pic:cNvPicPr/>
                  </pic:nvPicPr>
                  <pic:blipFill>
                    <a:blip r:embed="rId15"/>
                    <a:stretch>
                      <a:fillRect/>
                    </a:stretch>
                  </pic:blipFill>
                  <pic:spPr>
                    <a:xfrm>
                      <a:off x="0" y="0"/>
                      <a:ext cx="5669280" cy="3543300"/>
                    </a:xfrm>
                    <a:prstGeom prst="rect"/>
                  </pic:spPr>
                </pic:pic>
              </a:graphicData>
            </a:graphic>
          </wp:inline>
        </w:drawing>
      </w:r>
    </w:p>
    <w:p>
      <w:pPr>
        <w:pStyle w:val="Heading2"/>
      </w:pPr>
      <w:r>
        <w:t>6. Conclusion</w:t>
      </w:r>
    </w:p>
    <w:p>
      <w:r>
        <w:t>The EDA indicates that overtime status, department, job role, age group, tenure and work-life balance provide useful segmentation variables for further investigation. Income shows comparatively little separation in this sample. EDA identifies associations rather than causation, so the findings should be validated with larger samples and statistical or predictive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