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595959"/>
          <w:spacing w:val="20"/>
          <w:sz w:val="22"/>
          <w:szCs w:val="22"/>
        </w:rPr>
        <w:t xml:space="preserve">BRIGHTMART RETAIL CO.</w:t>
      </w:r>
    </w:p>
    <w:p>
      <w:pPr>
        <w:spacing w:after="200" w:before="200"/>
        <w:jc w:val="center"/>
      </w:pPr>
      <w:r>
        <w:rPr>
          <w:b/>
          <w:bCs/>
          <w:color w:val="1F3864"/>
          <w:sz w:val="44"/>
          <w:szCs w:val="44"/>
        </w:rPr>
        <w:t xml:space="preserve">Sales Performance &amp; Business Insights Report</w:t>
      </w:r>
    </w:p>
    <w:p>
      <w:pPr>
        <w:spacing w:after="100"/>
        <w:jc w:val="center"/>
      </w:pPr>
      <w:r>
        <w:rPr>
          <w:color w:val="2E74B5"/>
          <w:sz w:val="26"/>
          <w:szCs w:val="26"/>
        </w:rPr>
        <w:t xml:space="preserve">FY2024 Sales &amp; Customer Performance Analysis</w:t>
      </w:r>
    </w:p>
    <w:p>
      <w:pPr>
        <w:spacing w:after="600"/>
        <w:jc w:val="center"/>
      </w:pPr>
      <w:r>
        <w:rPr>
          <w:i/>
          <w:iCs/>
          <w:color w:val="595959"/>
          <w:sz w:val="20"/>
          <w:szCs w:val="20"/>
        </w:rPr>
        <w:t xml:space="preserve">Prepared by: Business &amp; Data Analyst  |  Data Source: FY2024 Sales Dataset (200 transactions)</w:t>
      </w:r>
    </w:p>
    <w:p>
      <w:pPr>
        <w:spacing w:after="100"/>
        <w:jc w:val="center"/>
      </w:pPr>
      <w:r>
        <w:rPr>
          <w:b/>
          <w:bCs/>
          <w:color w:val="1F3864"/>
          <w:sz w:val="24"/>
          <w:szCs w:val="24"/>
        </w:rPr>
        <w:t xml:space="preserve">Report Scope</w:t>
      </w:r>
    </w:p>
    <w:p>
      <w:pPr>
        <w:spacing w:after="120" w:line="276"/>
      </w:pPr>
      <w:r>
        <w:rPr>
          <w:sz w:val="21"/>
          <w:szCs w:val="21"/>
        </w:rPr>
        <w:t xml:space="preserve">This report translates BrightMart Retail Co.'s FY2024 transaction data into a Power BI report design and an executive-ready business summary, covering sales, profit, and customer performance across regions, product categories, and customer segments.</w:t>
      </w:r>
    </w:p>
    <w:p>
      <w:pPr>
        <w:pageBreakBefore/>
      </w:pPr>
    </w:p>
    <w:p>
      <w:pPr>
        <w:pStyle w:val="Heading1"/>
        <w:pBdr>
          <w:bottom w:val="single" w:color="1F3864" w:sz="8" w:space="4"/>
        </w:pBdr>
        <w:spacing w:after="160" w:before="360"/>
      </w:pPr>
      <w:r>
        <w:rPr>
          <w:b/>
          <w:bCs/>
          <w:color w:val="1F3864"/>
          <w:sz w:val="30"/>
          <w:szCs w:val="30"/>
        </w:rPr>
        <w:t xml:space="preserve">1. Power BI Report Design</w:t>
      </w:r>
    </w:p>
    <w:p>
      <w:pPr>
        <w:spacing w:after="120" w:line="276"/>
      </w:pPr>
      <w:r>
        <w:rPr>
          <w:sz w:val="21"/>
          <w:szCs w:val="21"/>
        </w:rPr>
        <w:t xml:space="preserve">The Power BI report is built directly on the existing FY2024 sales dataset (Order Date, Product Category, Region, Customer Segment, Sales Amount, Profit, Quantity Sold). It is organized into four pages that move from a high-level overview to deeper regional, product, and customer-level analysis.</w:t>
      </w:r>
    </w:p>
    <w:p>
      <w:pPr>
        <w:pStyle w:val="Heading2"/>
        <w:spacing w:after="120" w:before="260"/>
      </w:pPr>
      <w:r>
        <w:rPr>
          <w:b/>
          <w:bCs/>
          <w:color w:val="2E74B5"/>
          <w:sz w:val="24"/>
          <w:szCs w:val="24"/>
        </w:rPr>
        <w:t xml:space="preserve">1.1 Report Pages &amp; Visuals</w:t>
      </w:r>
    </w:p>
    <w:p>
      <w:pPr>
        <w:spacing w:after="80" w:before="180"/>
      </w:pPr>
      <w:r>
        <w:rPr>
          <w:b/>
          <w:bCs/>
          <w:color w:val="1F3864"/>
          <w:sz w:val="22"/>
          <w:szCs w:val="22"/>
        </w:rPr>
        <w:t xml:space="preserve">Page 1 — Executive Overview</w:t>
      </w:r>
    </w:p>
    <w:p>
      <w:pPr>
        <w:pStyle w:val="ListParagraph"/>
        <w:numPr>
          <w:ilvl w:val="0"/>
          <w:numId w:val="1"/>
        </w:numPr>
        <w:spacing w:after="80" w:line="270"/>
      </w:pPr>
      <w:r>
        <w:rPr>
          <w:sz w:val="21"/>
          <w:szCs w:val="21"/>
        </w:rPr>
        <w:t xml:space="preserve">KPI cards: Total Sales, Total Profit, Profit Margin %, Total Quantity Sold, Total Orders</w:t>
      </w:r>
    </w:p>
    <w:p>
      <w:pPr>
        <w:pStyle w:val="ListParagraph"/>
        <w:numPr>
          <w:ilvl w:val="0"/>
          <w:numId w:val="1"/>
        </w:numPr>
        <w:spacing w:after="80" w:line="270"/>
      </w:pPr>
      <w:r>
        <w:rPr>
          <w:sz w:val="21"/>
          <w:szCs w:val="21"/>
        </w:rPr>
        <w:t xml:space="preserve">Line chart: Monthly Sales Trend (Order Date by Month)</w:t>
      </w:r>
    </w:p>
    <w:p>
      <w:pPr>
        <w:pStyle w:val="ListParagraph"/>
        <w:numPr>
          <w:ilvl w:val="0"/>
          <w:numId w:val="1"/>
        </w:numPr>
        <w:spacing w:after="80" w:line="270"/>
      </w:pPr>
      <w:r>
        <w:rPr>
          <w:sz w:val="21"/>
          <w:szCs w:val="21"/>
        </w:rPr>
        <w:t xml:space="preserve">Bar chart: Sales by Region</w:t>
      </w:r>
    </w:p>
    <w:p>
      <w:pPr>
        <w:pStyle w:val="ListParagraph"/>
        <w:numPr>
          <w:ilvl w:val="0"/>
          <w:numId w:val="1"/>
        </w:numPr>
        <w:spacing w:after="80" w:line="270"/>
      </w:pPr>
      <w:r>
        <w:rPr>
          <w:sz w:val="21"/>
          <w:szCs w:val="21"/>
        </w:rPr>
        <w:t xml:space="preserve">Donut chart: Sales by Product Category</w:t>
      </w:r>
    </w:p>
    <w:p>
      <w:pPr>
        <w:pStyle w:val="ListParagraph"/>
        <w:numPr>
          <w:ilvl w:val="0"/>
          <w:numId w:val="1"/>
        </w:numPr>
        <w:spacing w:after="80" w:line="270"/>
      </w:pPr>
      <w:r>
        <w:rPr>
          <w:sz w:val="21"/>
          <w:szCs w:val="21"/>
        </w:rPr>
        <w:t xml:space="preserve">Slicers: Region, Product Category, Customer Segment, Month</w:t>
      </w:r>
    </w:p>
    <w:p>
      <w:pPr>
        <w:spacing w:after="80" w:before="180"/>
      </w:pPr>
      <w:r>
        <w:rPr>
          <w:b/>
          <w:bCs/>
          <w:color w:val="1F3864"/>
          <w:sz w:val="22"/>
          <w:szCs w:val="22"/>
        </w:rPr>
        <w:t xml:space="preserve">Page 2 — Regional Performance</w:t>
      </w:r>
    </w:p>
    <w:p>
      <w:pPr>
        <w:pStyle w:val="ListParagraph"/>
        <w:numPr>
          <w:ilvl w:val="0"/>
          <w:numId w:val="1"/>
        </w:numPr>
        <w:spacing w:after="80" w:line="270"/>
      </w:pPr>
      <w:r>
        <w:rPr>
          <w:sz w:val="21"/>
          <w:szCs w:val="21"/>
        </w:rPr>
        <w:t xml:space="preserve">Bar chart: Total Sales and Total Profit by Region (side-by-side)</w:t>
      </w:r>
    </w:p>
    <w:p>
      <w:pPr>
        <w:pStyle w:val="ListParagraph"/>
        <w:numPr>
          <w:ilvl w:val="0"/>
          <w:numId w:val="1"/>
        </w:numPr>
        <w:spacing w:after="80" w:line="270"/>
      </w:pPr>
      <w:r>
        <w:rPr>
          <w:sz w:val="21"/>
          <w:szCs w:val="21"/>
        </w:rPr>
        <w:t xml:space="preserve">Column chart: Profit Margin % by Region</w:t>
      </w:r>
    </w:p>
    <w:p>
      <w:pPr>
        <w:pStyle w:val="ListParagraph"/>
        <w:numPr>
          <w:ilvl w:val="0"/>
          <w:numId w:val="1"/>
        </w:numPr>
        <w:spacing w:after="80" w:line="270"/>
      </w:pPr>
      <w:r>
        <w:rPr>
          <w:sz w:val="21"/>
          <w:szCs w:val="21"/>
        </w:rPr>
        <w:t xml:space="preserve">Matrix table: Region × Product Category, values = Sales, Profit</w:t>
      </w:r>
    </w:p>
    <w:p>
      <w:pPr>
        <w:pStyle w:val="ListParagraph"/>
        <w:numPr>
          <w:ilvl w:val="0"/>
          <w:numId w:val="1"/>
        </w:numPr>
        <w:spacing w:after="80" w:line="270"/>
      </w:pPr>
      <w:r>
        <w:rPr>
          <w:sz w:val="21"/>
          <w:szCs w:val="21"/>
        </w:rPr>
        <w:t xml:space="preserve">Card: Region with lowest margin / lowest sales (dynamic top-N)</w:t>
      </w:r>
    </w:p>
    <w:p>
      <w:pPr>
        <w:spacing w:after="80" w:before="180"/>
      </w:pPr>
      <w:r>
        <w:rPr>
          <w:b/>
          <w:bCs/>
          <w:color w:val="1F3864"/>
          <w:sz w:val="22"/>
          <w:szCs w:val="22"/>
        </w:rPr>
        <w:t xml:space="preserve">Page 3 — Product Category Analysis</w:t>
      </w:r>
    </w:p>
    <w:p>
      <w:pPr>
        <w:pStyle w:val="ListParagraph"/>
        <w:numPr>
          <w:ilvl w:val="0"/>
          <w:numId w:val="1"/>
        </w:numPr>
        <w:spacing w:after="80" w:line="270"/>
      </w:pPr>
      <w:r>
        <w:rPr>
          <w:sz w:val="21"/>
          <w:szCs w:val="21"/>
        </w:rPr>
        <w:t xml:space="preserve">Bar chart: Total Sales and Profit by Product Category</w:t>
      </w:r>
    </w:p>
    <w:p>
      <w:pPr>
        <w:pStyle w:val="ListParagraph"/>
        <w:numPr>
          <w:ilvl w:val="0"/>
          <w:numId w:val="1"/>
        </w:numPr>
        <w:spacing w:after="80" w:line="270"/>
      </w:pPr>
      <w:r>
        <w:rPr>
          <w:sz w:val="21"/>
          <w:szCs w:val="21"/>
        </w:rPr>
        <w:t xml:space="preserve">Column chart: Profit Margin % by Category (sorted descending)</w:t>
      </w:r>
    </w:p>
    <w:p>
      <w:pPr>
        <w:pStyle w:val="ListParagraph"/>
        <w:numPr>
          <w:ilvl w:val="0"/>
          <w:numId w:val="1"/>
        </w:numPr>
        <w:spacing w:after="80" w:line="270"/>
      </w:pPr>
      <w:r>
        <w:rPr>
          <w:sz w:val="21"/>
          <w:szCs w:val="21"/>
        </w:rPr>
        <w:t xml:space="preserve">Scatter chart: Average Order Value vs. Profit Margin % by Category</w:t>
      </w:r>
    </w:p>
    <w:p>
      <w:pPr>
        <w:pStyle w:val="ListParagraph"/>
        <w:numPr>
          <w:ilvl w:val="0"/>
          <w:numId w:val="1"/>
        </w:numPr>
        <w:spacing w:after="80" w:line="270"/>
      </w:pPr>
      <w:r>
        <w:rPr>
          <w:sz w:val="21"/>
          <w:szCs w:val="21"/>
        </w:rPr>
        <w:t xml:space="preserve">Table: Category-level Sales, Profit, Quantity Sold, Orders, Margin %</w:t>
      </w:r>
    </w:p>
    <w:p>
      <w:pPr>
        <w:spacing w:after="80" w:before="180"/>
      </w:pPr>
      <w:r>
        <w:rPr>
          <w:b/>
          <w:bCs/>
          <w:color w:val="1F3864"/>
          <w:sz w:val="22"/>
          <w:szCs w:val="22"/>
        </w:rPr>
        <w:t xml:space="preserve">Page 4 — Customer Segment Insights</w:t>
      </w:r>
    </w:p>
    <w:p>
      <w:pPr>
        <w:pStyle w:val="ListParagraph"/>
        <w:numPr>
          <w:ilvl w:val="0"/>
          <w:numId w:val="1"/>
        </w:numPr>
        <w:spacing w:after="80" w:line="270"/>
      </w:pPr>
      <w:r>
        <w:rPr>
          <w:sz w:val="21"/>
          <w:szCs w:val="21"/>
        </w:rPr>
        <w:t xml:space="preserve">Bar chart: Sales and Profit by Customer Segment</w:t>
      </w:r>
    </w:p>
    <w:p>
      <w:pPr>
        <w:pStyle w:val="ListParagraph"/>
        <w:numPr>
          <w:ilvl w:val="0"/>
          <w:numId w:val="1"/>
        </w:numPr>
        <w:spacing w:after="80" w:line="270"/>
      </w:pPr>
      <w:r>
        <w:rPr>
          <w:sz w:val="21"/>
          <w:szCs w:val="21"/>
        </w:rPr>
        <w:t xml:space="preserve">Column chart: Average Order Value by Segment</w:t>
      </w:r>
    </w:p>
    <w:p>
      <w:pPr>
        <w:pStyle w:val="ListParagraph"/>
        <w:numPr>
          <w:ilvl w:val="0"/>
          <w:numId w:val="1"/>
        </w:numPr>
        <w:spacing w:after="80" w:line="270"/>
      </w:pPr>
      <w:r>
        <w:rPr>
          <w:sz w:val="21"/>
          <w:szCs w:val="21"/>
        </w:rPr>
        <w:t xml:space="preserve">Matrix table: Customer Segment × Region, values = Sales</w:t>
      </w:r>
    </w:p>
    <w:p>
      <w:pPr>
        <w:pStyle w:val="ListParagraph"/>
        <w:numPr>
          <w:ilvl w:val="0"/>
          <w:numId w:val="1"/>
        </w:numPr>
        <w:spacing w:after="80" w:line="270"/>
      </w:pPr>
      <w:r>
        <w:rPr>
          <w:sz w:val="21"/>
          <w:szCs w:val="21"/>
        </w:rPr>
        <w:t xml:space="preserve">Card visuals: Total Orders and Average Quantity per Order, by segment</w:t>
      </w:r>
    </w:p>
    <w:p>
      <w:pPr>
        <w:pStyle w:val="Heading2"/>
        <w:spacing w:after="120" w:before="260"/>
      </w:pPr>
      <w:r>
        <w:rPr>
          <w:b/>
          <w:bCs/>
          <w:color w:val="2E74B5"/>
          <w:sz w:val="24"/>
          <w:szCs w:val="24"/>
        </w:rPr>
        <w:t xml:space="preserve">1.2 Basic DAX Measures</w:t>
      </w:r>
    </w:p>
    <w:p>
      <w:pPr>
        <w:spacing w:after="120" w:line="276"/>
      </w:pPr>
      <w:r>
        <w:rPr>
          <w:sz w:val="21"/>
          <w:szCs w:val="21"/>
        </w:rPr>
        <w:t xml:space="preserve">A small set of reusable measures drives all KPI cards and visuals across the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Measure</w:t>
            </w:r>
          </w:p>
        </w:tc>
        <w:tc>
          <w:tcPr>
            <w:tcW w:type="dxa" w:w="6750"/>
            <w:shd w:fill="1F3864" w:val="clear"/>
            <w:tcMar>
              <w:top w:type="dxa" w:w="80"/>
              <w:left w:type="dxa" w:w="120"/>
              <w:bottom w:type="dxa" w:w="80"/>
              <w:right w:type="dxa" w:w="120"/>
            </w:tcMar>
            <w:vAlign w:val="center"/>
          </w:tcPr>
          <w:p>
            <w:pPr>
              <w:jc w:val="center"/>
            </w:pPr>
            <w:r>
              <w:rPr>
                <w:b/>
                <w:bCs/>
                <w:color w:val="FFFFFF"/>
                <w:sz w:val="20"/>
                <w:szCs w:val="20"/>
              </w:rPr>
              <w:t xml:space="preserve">DAX Formula</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 Sales</w:t>
            </w:r>
          </w:p>
        </w:tc>
        <w:tc>
          <w:tcPr>
            <w:tcW w:type="dxa" w:w="67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SUM(Dataset[Sales Amount])</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 Profit</w:t>
            </w:r>
          </w:p>
        </w:tc>
        <w:tc>
          <w:tcPr>
            <w:tcW w:type="dxa" w:w="67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SUM(Dataset[Profit])</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Profit Margin %</w:t>
            </w:r>
          </w:p>
        </w:tc>
        <w:tc>
          <w:tcPr>
            <w:tcW w:type="dxa" w:w="67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DIVIDE([Total Profit], [Total Sales], 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 Quantity Sold</w:t>
            </w:r>
          </w:p>
        </w:tc>
        <w:tc>
          <w:tcPr>
            <w:tcW w:type="dxa" w:w="67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SUM(Dataset[Quantity Sold])</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 Orders</w:t>
            </w:r>
          </w:p>
        </w:tc>
        <w:tc>
          <w:tcPr>
            <w:tcW w:type="dxa" w:w="67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COUNTROWS(Dataset)</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Average Order Value</w:t>
            </w:r>
          </w:p>
        </w:tc>
        <w:tc>
          <w:tcPr>
            <w:tcW w:type="dxa" w:w="67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DIVIDE([Total Sales], [Total Orders], 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Average Profit per Order</w:t>
            </w:r>
          </w:p>
        </w:tc>
        <w:tc>
          <w:tcPr>
            <w:tcW w:type="dxa" w:w="67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DIVIDE([Total Profit], [Total Orders], 0)</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of Total Sales</w:t>
            </w:r>
          </w:p>
        </w:tc>
        <w:tc>
          <w:tcPr>
            <w:tcW w:type="dxa" w:w="67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DIVIDE([Total Sales], CALCULATE([Total Sales], ALL(Dataset)), 0)</w:t>
            </w:r>
          </w:p>
        </w:tc>
      </w:tr>
    </w:tbl>
    <w:p>
      <w:pPr>
        <w:pStyle w:val="Heading2"/>
        <w:spacing w:after="120" w:before="260"/>
      </w:pPr>
      <w:r>
        <w:rPr>
          <w:b/>
          <w:bCs/>
          <w:color w:val="2E74B5"/>
          <w:sz w:val="24"/>
          <w:szCs w:val="24"/>
        </w:rPr>
        <w:t xml:space="preserve">1.3 Filters &amp; Interactivity</w:t>
      </w:r>
    </w:p>
    <w:p>
      <w:pPr>
        <w:pStyle w:val="ListParagraph"/>
        <w:numPr>
          <w:ilvl w:val="0"/>
          <w:numId w:val="1"/>
        </w:numPr>
        <w:spacing w:after="80" w:line="270"/>
      </w:pPr>
      <w:r>
        <w:rPr>
          <w:sz w:val="21"/>
          <w:szCs w:val="21"/>
        </w:rPr>
        <w:t xml:space="preserve">Slicers on every page: Region, Product Category, Customer Segment</w:t>
      </w:r>
    </w:p>
    <w:p>
      <w:pPr>
        <w:pStyle w:val="ListParagraph"/>
        <w:numPr>
          <w:ilvl w:val="0"/>
          <w:numId w:val="1"/>
        </w:numPr>
        <w:spacing w:after="80" w:line="270"/>
      </w:pPr>
      <w:r>
        <w:rPr>
          <w:sz w:val="21"/>
          <w:szCs w:val="21"/>
        </w:rPr>
        <w:t xml:space="preserve">Date/Month slicer to review seasonal performance</w:t>
      </w:r>
    </w:p>
    <w:p>
      <w:pPr>
        <w:pStyle w:val="ListParagraph"/>
        <w:numPr>
          <w:ilvl w:val="0"/>
          <w:numId w:val="1"/>
        </w:numPr>
        <w:spacing w:after="80" w:line="270"/>
      </w:pPr>
      <w:r>
        <w:rPr>
          <w:sz w:val="21"/>
          <w:szCs w:val="21"/>
        </w:rPr>
        <w:t xml:space="preserve">Cross-filtering enabled between visuals on the same page (click a region or category to filter the rest of the page)</w:t>
      </w:r>
    </w:p>
    <w:p>
      <w:pPr>
        <w:pStyle w:val="ListParagraph"/>
        <w:numPr>
          <w:ilvl w:val="0"/>
          <w:numId w:val="1"/>
        </w:numPr>
        <w:spacing w:after="80" w:line="270"/>
      </w:pPr>
      <w:r>
        <w:rPr>
          <w:sz w:val="21"/>
          <w:szCs w:val="21"/>
        </w:rPr>
        <w:t xml:space="preserve">Slicers synced across all four pages so filter selections stay consistent while navigating</w:t>
      </w:r>
    </w:p>
    <w:p>
      <w:pPr>
        <w:pageBreakBefore/>
      </w:pPr>
    </w:p>
    <w:p>
      <w:pPr>
        <w:pStyle w:val="Heading1"/>
        <w:pBdr>
          <w:bottom w:val="single" w:color="1F3864" w:sz="8" w:space="4"/>
        </w:pBdr>
        <w:spacing w:after="160" w:before="360"/>
      </w:pPr>
      <w:r>
        <w:rPr>
          <w:b/>
          <w:bCs/>
          <w:color w:val="1F3864"/>
          <w:sz w:val="30"/>
          <w:szCs w:val="30"/>
        </w:rPr>
        <w:t xml:space="preserve">2. Executive Business Report</w:t>
      </w:r>
    </w:p>
    <w:p>
      <w:pPr>
        <w:pStyle w:val="Heading2"/>
        <w:spacing w:after="120" w:before="260"/>
      </w:pPr>
      <w:r>
        <w:rPr>
          <w:b/>
          <w:bCs/>
          <w:color w:val="2E74B5"/>
          <w:sz w:val="24"/>
          <w:szCs w:val="24"/>
        </w:rPr>
        <w:t xml:space="preserve">2.1 Business Problem</w:t>
      </w:r>
    </w:p>
    <w:p>
      <w:pPr>
        <w:spacing w:after="120" w:line="276"/>
      </w:pPr>
      <w:r>
        <w:rPr>
          <w:sz w:val="21"/>
          <w:szCs w:val="21"/>
        </w:rPr>
        <w:t xml:space="preserve">Sales and profit at BrightMart Retail Co. are recorded transaction by transaction but were never summarized in a usable way. As a result, leadership could not clearly see which regions, product categories, or customer segments were actually driving profit, leaving budget and marketing decisions without a clear evidence base.</w:t>
      </w:r>
    </w:p>
    <w:p>
      <w:pPr>
        <w:pStyle w:val="Heading2"/>
        <w:spacing w:after="120" w:before="260"/>
      </w:pPr>
      <w:r>
        <w:rPr>
          <w:b/>
          <w:bCs/>
          <w:color w:val="2E74B5"/>
          <w:sz w:val="24"/>
          <w:szCs w:val="24"/>
        </w:rPr>
        <w:t xml:space="preserve">2.2 Analysis Summary</w:t>
      </w:r>
    </w:p>
    <w:p>
      <w:pPr>
        <w:spacing w:after="120" w:line="276"/>
      </w:pPr>
      <w:r>
        <w:rPr>
          <w:sz w:val="21"/>
          <w:szCs w:val="21"/>
        </w:rPr>
        <w:t xml:space="preserve">The analysis covers 200 FY2024 transactions totaling $529,594.51 in sales, $111,759.97 in profit (21.1% overall margin), and 2,351 units sold. Performance was broken down by product category, region, customer segment, and month to identify where sales convert into profit and where they do not.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675"/>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675"/>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 Sales</w:t>
            </w:r>
          </w:p>
        </w:tc>
        <w:tc>
          <w:tcPr>
            <w:tcW w:type="dxa" w:w="4675"/>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$529,594.51</w:t>
            </w:r>
          </w:p>
        </w:tc>
      </w:tr>
      <w:tr>
        <w:tc>
          <w:tcPr>
            <w:tcW w:type="dxa" w:w="4675"/>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 Profit</w:t>
            </w:r>
          </w:p>
        </w:tc>
        <w:tc>
          <w:tcPr>
            <w:tcW w:type="dxa" w:w="4675"/>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$111,759.97</w:t>
            </w:r>
          </w:p>
        </w:tc>
      </w:tr>
      <w:tr>
        <w:tc>
          <w:tcPr>
            <w:tcW w:type="dxa" w:w="4675"/>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Overall Profit Margin</w:t>
            </w:r>
          </w:p>
        </w:tc>
        <w:tc>
          <w:tcPr>
            <w:tcW w:type="dxa" w:w="4675"/>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21.1%</w:t>
            </w:r>
          </w:p>
        </w:tc>
      </w:tr>
      <w:tr>
        <w:tc>
          <w:tcPr>
            <w:tcW w:type="dxa" w:w="4675"/>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 Quantity Sold</w:t>
            </w:r>
          </w:p>
        </w:tc>
        <w:tc>
          <w:tcPr>
            <w:tcW w:type="dxa" w:w="4675"/>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2,351 units</w:t>
            </w:r>
          </w:p>
        </w:tc>
      </w:tr>
      <w:tr>
        <w:tc>
          <w:tcPr>
            <w:tcW w:type="dxa" w:w="4675"/>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 Orders</w:t>
            </w:r>
          </w:p>
        </w:tc>
        <w:tc>
          <w:tcPr>
            <w:tcW w:type="dxa" w:w="4675"/>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200</w:t>
            </w:r>
          </w:p>
        </w:tc>
      </w:tr>
    </w:tbl>
    <w:p>
      <w:pPr>
        <w:pStyle w:val="Heading2"/>
        <w:spacing w:after="120" w:before="260"/>
      </w:pPr>
      <w:r>
        <w:rPr>
          <w:b/>
          <w:bCs/>
          <w:color w:val="2E74B5"/>
          <w:sz w:val="24"/>
          <w:szCs w:val="24"/>
        </w:rPr>
        <w:t xml:space="preserve">2.3 Key Findings</w:t>
      </w:r>
    </w:p>
    <w:p>
      <w:pPr>
        <w:pStyle w:val="ListParagraph"/>
        <w:numPr>
          <w:ilvl w:val="0"/>
          <w:numId w:val="1"/>
        </w:numPr>
        <w:spacing w:after="80" w:line="270"/>
      </w:pPr>
      <w:r>
        <w:rPr>
          <w:b/>
          <w:bCs/>
          <w:sz w:val="21"/>
          <w:szCs w:val="21"/>
        </w:rPr>
        <w:t xml:space="preserve">Furniture and Electronics drive the most revenue, but not the most efficiently. </w:t>
      </w:r>
      <w:r>
        <w:rPr>
          <w:sz w:val="21"/>
          <w:szCs w:val="21"/>
        </w:rPr>
        <w:t xml:space="preserve">Furniture ($236,542, 22% margin) and Electronics ($221,781, 18% margin) generate the largest average order values, yet Clothing converts sales to profit far more efficiently (37% margin) despite far lower volume.</w:t>
      </w:r>
    </w:p>
    <w:p>
      <w:pPr>
        <w:pStyle w:val="ListParagraph"/>
        <w:numPr>
          <w:ilvl w:val="0"/>
          <w:numId w:val="1"/>
        </w:numPr>
        <w:spacing w:after="80" w:line="270"/>
      </w:pPr>
      <w:r>
        <w:rPr>
          <w:b/>
          <w:bCs/>
          <w:sz w:val="21"/>
          <w:szCs w:val="21"/>
        </w:rPr>
        <w:t xml:space="preserve">Groceries is a volume category with weak profitability. </w:t>
      </w:r>
      <w:r>
        <w:rPr>
          <w:sz w:val="21"/>
          <w:szCs w:val="21"/>
        </w:rPr>
        <w:t xml:space="preserve">Groceries has 37 orders and steady sales ($14,730) but the lowest profit margin of any category (13%), meaning volume is not translating into meaningful profit.</w:t>
      </w:r>
    </w:p>
    <w:p>
      <w:pPr>
        <w:pStyle w:val="ListParagraph"/>
        <w:numPr>
          <w:ilvl w:val="0"/>
          <w:numId w:val="1"/>
        </w:numPr>
        <w:spacing w:after="80" w:line="270"/>
      </w:pPr>
      <w:r>
        <w:rPr>
          <w:b/>
          <w:bCs/>
          <w:sz w:val="21"/>
          <w:szCs w:val="21"/>
        </w:rPr>
        <w:t xml:space="preserve">The South region underperforms all other regions. </w:t>
      </w:r>
      <w:r>
        <w:rPr>
          <w:sz w:val="21"/>
          <w:szCs w:val="21"/>
        </w:rPr>
        <w:t xml:space="preserve">South generated $100,897 in sales, roughly 28-32% behind North ($149,083) and West ($140,661), pointing to a regional demand or execution gap rather than a company-wide issue.</w:t>
      </w:r>
    </w:p>
    <w:p>
      <w:pPr>
        <w:pStyle w:val="ListParagraph"/>
        <w:numPr>
          <w:ilvl w:val="0"/>
          <w:numId w:val="1"/>
        </w:numPr>
        <w:spacing w:after="80" w:line="270"/>
      </w:pPr>
      <w:r>
        <w:rPr>
          <w:b/>
          <w:bCs/>
          <w:sz w:val="21"/>
          <w:szCs w:val="21"/>
        </w:rPr>
        <w:t xml:space="preserve">Small Business is the highest-volume segment; Corporate orders carry the most weight. </w:t>
      </w:r>
      <w:r>
        <w:rPr>
          <w:sz w:val="21"/>
          <w:szCs w:val="21"/>
        </w:rPr>
        <w:t xml:space="preserve">Small Business customers placed the most orders (81) and the highest total sales ($210,038), while Corporate orders carry the highest average quantity per order (12.5 units), making both segments valuable in different ways.</w:t>
      </w:r>
    </w:p>
    <w:p>
      <w:pPr>
        <w:pStyle w:val="ListParagraph"/>
        <w:numPr>
          <w:ilvl w:val="0"/>
          <w:numId w:val="1"/>
        </w:numPr>
        <w:spacing w:after="80" w:line="270"/>
      </w:pPr>
      <w:r>
        <w:rPr>
          <w:b/>
          <w:bCs/>
          <w:sz w:val="21"/>
          <w:szCs w:val="21"/>
        </w:rPr>
        <w:t xml:space="preserve">Sales are seasonal, with clear peak and trough months. </w:t>
      </w:r>
      <w:r>
        <w:rPr>
          <w:sz w:val="21"/>
          <w:szCs w:val="21"/>
        </w:rPr>
        <w:t xml:space="preserve">May ($79,653) and August ($70,477) are the strongest months, while January and October ($14,728 and $15,568) are consistently the weakest, a pattern that repeats closely enough to plan around.</w:t>
      </w:r>
    </w:p>
    <w:p>
      <w:pPr>
        <w:pStyle w:val="Heading2"/>
        <w:spacing w:after="120" w:before="260"/>
      </w:pPr>
      <w:r>
        <w:rPr>
          <w:b/>
          <w:bCs/>
          <w:color w:val="2E74B5"/>
          <w:sz w:val="24"/>
          <w:szCs w:val="24"/>
        </w:rPr>
        <w:t xml:space="preserve">2.4 Business Recommendations</w:t>
      </w:r>
    </w:p>
    <w:p>
      <w:pPr>
        <w:pStyle w:val="ListParagraph"/>
        <w:numPr>
          <w:ilvl w:val="0"/>
          <w:numId w:val="1"/>
        </w:numPr>
        <w:spacing w:after="80" w:line="270"/>
      </w:pPr>
      <w:r>
        <w:rPr>
          <w:b/>
          <w:bCs/>
          <w:sz w:val="21"/>
          <w:szCs w:val="21"/>
        </w:rPr>
        <w:t xml:space="preserve">Review Groceries pricing and supplier costs. </w:t>
      </w:r>
      <w:r>
        <w:rPr>
          <w:sz w:val="21"/>
          <w:szCs w:val="21"/>
        </w:rPr>
        <w:t xml:space="preserve">Since margin, not volume, is the constraint, renegotiating supplier terms or adjusting price points could meaningfully lift overall profitability.</w:t>
      </w:r>
    </w:p>
    <w:p>
      <w:pPr>
        <w:pStyle w:val="ListParagraph"/>
        <w:numPr>
          <w:ilvl w:val="0"/>
          <w:numId w:val="1"/>
        </w:numPr>
        <w:spacing w:after="80" w:line="270"/>
      </w:pPr>
      <w:r>
        <w:rPr>
          <w:b/>
          <w:bCs/>
          <w:sz w:val="21"/>
          <w:szCs w:val="21"/>
        </w:rPr>
        <w:t xml:space="preserve">Investigate the South region's underperformance. </w:t>
      </w:r>
      <w:r>
        <w:rPr>
          <w:sz w:val="21"/>
          <w:szCs w:val="21"/>
        </w:rPr>
        <w:t xml:space="preserve">Compare staffing, local marketing spend, and store setup against North and West to identify whether the gap is a demand issue or an execution issue, then pilot a targeted local push.</w:t>
      </w:r>
    </w:p>
    <w:p>
      <w:pPr>
        <w:pStyle w:val="ListParagraph"/>
        <w:numPr>
          <w:ilvl w:val="0"/>
          <w:numId w:val="1"/>
        </w:numPr>
        <w:spacing w:after="80" w:line="270"/>
      </w:pPr>
      <w:r>
        <w:rPr>
          <w:b/>
          <w:bCs/>
          <w:sz w:val="21"/>
          <w:szCs w:val="21"/>
        </w:rPr>
        <w:t xml:space="preserve">Build retention programs around Small Business and Corporate customers. </w:t>
      </w:r>
      <w:r>
        <w:rPr>
          <w:sz w:val="21"/>
          <w:szCs w:val="21"/>
        </w:rPr>
        <w:t xml:space="preserve">Small Business drives volume and total revenue; Corporate drives larger order sizes. Loyalty or volume-based incentives for both would protect BrightMart's two most valuable segments.</w:t>
      </w:r>
    </w:p>
    <w:p>
      <w:pPr>
        <w:pStyle w:val="ListParagraph"/>
        <w:numPr>
          <w:ilvl w:val="0"/>
          <w:numId w:val="1"/>
        </w:numPr>
        <w:spacing w:after="80" w:line="270"/>
      </w:pPr>
      <w:r>
        <w:rPr>
          <w:b/>
          <w:bCs/>
          <w:sz w:val="21"/>
          <w:szCs w:val="21"/>
        </w:rPr>
        <w:t xml:space="preserve">Plan inventory and staffing around known seasonal peaks. </w:t>
      </w:r>
      <w:r>
        <w:rPr>
          <w:sz w:val="21"/>
          <w:szCs w:val="21"/>
        </w:rPr>
        <w:t xml:space="preserve">Use the May and August demand spikes to schedule restocking and staffing a month in advance, and treat January and October as opportunities to control costs during predictably slower periods.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2026-07-07T11:08:26.472Z</dcterms:created>
  <dcterms:modified xsi:type="dcterms:W3CDTF">2026-07-07T11:08:26.473Z</dcterms:modified>
</cp:coreProperties>
</file>

<file path=docProps/custom.xml><?xml version="1.0" encoding="utf-8"?>
<Properties xmlns="http://schemas.openxmlformats.org/officeDocument/2006/custom-properties" xmlns:vt="http://schemas.openxmlformats.org/officeDocument/2006/docPropsVTypes"/>
</file>