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PHISHGUARD NEXUS</w:t>
        <w:br/>
      </w:r>
      <w:r>
        <w:rPr>
          <w:b/>
          <w:color w:val="0284C7"/>
          <w:sz w:val="28"/>
        </w:rPr>
        <w:t>AI-BASED PHISHING WEBSITE DETECTION USING MACHINE LEARNING</w:t>
        <w:br/>
      </w:r>
    </w:p>
    <w:p>
      <w:pPr>
        <w:jc w:val="center"/>
      </w:pPr>
      <w:r>
        <w:rPr>
          <w:i/>
          <w:color w:val="1E293B"/>
          <w:sz w:val="22"/>
        </w:rPr>
        <w:t>An Intelligent Cybersecurity Platform for Phishing URL Detection, Risk Analysis, Threat Investigation and Machine Learning Evaluation</w:t>
      </w:r>
    </w:p>
    <w:p/>
    <w:tbl>
      <w:tblPr>
        <w:tblW w:type="auto" w:w="0"/>
        <w:jc w:val="center"/>
        <w:tblLook w:firstColumn="1" w:firstRow="1" w:lastColumn="0" w:lastRow="0" w:noHBand="0" w:noVBand="1" w:val="04A0"/>
      </w:tblPr>
      <w:tblGrid>
        <w:gridCol w:w="5040"/>
        <w:gridCol w:w="5040"/>
      </w:tblGrid>
      <w:tr>
        <w:tc>
          <w:tcPr>
            <w:tcW w:type="dxa" w:w="2880"/>
            <w:shd w:fill="F8FAFC"/>
          </w:tcPr>
          <w:p>
            <w:r>
              <w:rPr>
                <w:b/>
                <w:color w:val="0F172A"/>
              </w:rPr>
              <w:t>Document Type:</w:t>
            </w:r>
          </w:p>
        </w:tc>
        <w:tc>
          <w:tcPr>
            <w:tcW w:type="dxa" w:w="6480"/>
            <w:shd w:fill="F8FAFC"/>
          </w:tcPr>
          <w:p>
            <w:r>
              <w:t>Academic Project Report / Technical Documentation</w:t>
            </w:r>
          </w:p>
        </w:tc>
      </w:tr>
      <w:tr>
        <w:tc>
          <w:tcPr>
            <w:tcW w:type="dxa" w:w="2880"/>
            <w:shd w:fill="F8FAFC"/>
          </w:tcPr>
          <w:p>
            <w:r>
              <w:rPr>
                <w:b/>
                <w:color w:val="0F172A"/>
              </w:rPr>
              <w:t>Prepared For:</w:t>
            </w:r>
          </w:p>
        </w:tc>
        <w:tc>
          <w:tcPr>
            <w:tcW w:type="dxa" w:w="6480"/>
            <w:shd w:fill="F8FAFC"/>
          </w:tcPr>
          <w:p>
            <w:r>
              <w:t>[COLLEGE / UNIVERSITY NAME]</w:t>
            </w:r>
          </w:p>
        </w:tc>
      </w:tr>
      <w:tr>
        <w:tc>
          <w:tcPr>
            <w:tcW w:type="dxa" w:w="2880"/>
            <w:shd w:fill="F8FAFC"/>
          </w:tcPr>
          <w:p>
            <w:r>
              <w:rPr>
                <w:b/>
                <w:color w:val="0F172A"/>
              </w:rPr>
              <w:t>Department:</w:t>
            </w:r>
          </w:p>
        </w:tc>
        <w:tc>
          <w:tcPr>
            <w:tcW w:type="dxa" w:w="6480"/>
            <w:shd w:fill="F8FAFC"/>
          </w:tcPr>
          <w:p>
            <w:r>
              <w:t>Department of Computer Science &amp; Engineering / AIML</w:t>
            </w:r>
          </w:p>
        </w:tc>
      </w:tr>
      <w:tr>
        <w:tc>
          <w:tcPr>
            <w:tcW w:type="dxa" w:w="2880"/>
            <w:shd w:fill="F8FAFC"/>
          </w:tcPr>
          <w:p>
            <w:r>
              <w:rPr>
                <w:b/>
                <w:color w:val="0F172A"/>
              </w:rPr>
              <w:t>Prepared By:</w:t>
            </w:r>
          </w:p>
        </w:tc>
        <w:tc>
          <w:tcPr>
            <w:tcW w:type="dxa" w:w="6480"/>
            <w:shd w:fill="F8FAFC"/>
          </w:tcPr>
          <w:p>
            <w:r>
              <w:t>[STUDENT NAME]</w:t>
            </w:r>
          </w:p>
        </w:tc>
      </w:tr>
      <w:tr>
        <w:tc>
          <w:tcPr>
            <w:tcW w:type="dxa" w:w="2880"/>
            <w:shd w:fill="F8FAFC"/>
          </w:tcPr>
          <w:p>
            <w:r>
              <w:rPr>
                <w:b/>
                <w:color w:val="0F172A"/>
              </w:rPr>
              <w:t>Register Number:</w:t>
            </w:r>
          </w:p>
        </w:tc>
        <w:tc>
          <w:tcPr>
            <w:tcW w:type="dxa" w:w="6480"/>
            <w:shd w:fill="F8FAFC"/>
          </w:tcPr>
          <w:p>
            <w:r>
              <w:t>[REGISTER NUMBER]</w:t>
            </w:r>
          </w:p>
        </w:tc>
      </w:tr>
      <w:tr>
        <w:tc>
          <w:tcPr>
            <w:tcW w:type="dxa" w:w="2880"/>
            <w:shd w:fill="F8FAFC"/>
          </w:tcPr>
          <w:p>
            <w:r>
              <w:rPr>
                <w:b/>
                <w:color w:val="0F172A"/>
              </w:rPr>
              <w:t>Project Guide:</w:t>
            </w:r>
          </w:p>
        </w:tc>
        <w:tc>
          <w:tcPr>
            <w:tcW w:type="dxa" w:w="6480"/>
            <w:shd w:fill="F8FAFC"/>
          </w:tcPr>
          <w:p>
            <w:r>
              <w:t>[GUIDE NAME]</w:t>
            </w:r>
          </w:p>
        </w:tc>
      </w:tr>
      <w:tr>
        <w:tc>
          <w:tcPr>
            <w:tcW w:type="dxa" w:w="2880"/>
            <w:shd w:fill="F8FAFC"/>
          </w:tcPr>
          <w:p>
            <w:r>
              <w:rPr>
                <w:b/>
                <w:color w:val="0F172A"/>
              </w:rPr>
              <w:t>Academic Year:</w:t>
            </w:r>
          </w:p>
        </w:tc>
        <w:tc>
          <w:tcPr>
            <w:tcW w:type="dxa" w:w="6480"/>
            <w:shd w:fill="F8FAFC"/>
          </w:tcPr>
          <w:p>
            <w:r>
              <w:t>2026–2027</w:t>
            </w:r>
          </w:p>
        </w:tc>
      </w:tr>
    </w:tbl>
    <w:p>
      <w:r>
        <w:br w:type="page"/>
      </w:r>
    </w:p>
    <w:p>
      <w:pPr>
        <w:pStyle w:val="Heading1"/>
      </w:pPr>
      <w:r>
        <w:rPr>
          <w:b/>
          <w:color w:val="0F172A"/>
        </w:rPr>
        <w:t>ABSTRACT</w:t>
      </w:r>
    </w:p>
    <w:p>
      <w:r>
        <w:t>Phishing attacks represent one of the most pervasive cyber threats, exploiting human trust to harvest sensitive credentials, financial details, and personal data. Traditional defense mechanisms—such as static URL blacklists and domain reputation registries—fail to detect novel, short-lived, or zero-day phishing links created dynamically by malicious actors. PhishGuard Nexus provides an intelligent, full-stack cybersecurity platform combining 22 canonical lexical URL features, multi-model machine learning (Logistic Regression, Decision Tree, Random Forest, Gradient Boosting), 5-tier risk scoring (0–100), pseudo-SHAP explainability, threat case management, and interactive research tools.</w:t>
      </w:r>
    </w:p>
    <w:p>
      <w:pPr>
        <w:pStyle w:val="Heading1"/>
      </w:pPr>
      <w:r>
        <w:rPr>
          <w:color w:val="0F172A"/>
        </w:rPr>
        <w:t>22 CANONICAL URL FEATURES</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rPr>
              <w:t>#</w:t>
            </w:r>
          </w:p>
        </w:tc>
        <w:tc>
          <w:tcPr>
            <w:tcW w:type="dxa" w:w="2520"/>
            <w:shd w:fill="0F172A"/>
          </w:tcPr>
          <w:p>
            <w:r>
              <w:rPr>
                <w:b/>
                <w:color w:val="FFFFFF"/>
              </w:rPr>
              <w:t>Feature Name</w:t>
            </w:r>
          </w:p>
        </w:tc>
        <w:tc>
          <w:tcPr>
            <w:tcW w:type="dxa" w:w="2520"/>
            <w:shd w:fill="0F172A"/>
          </w:tcPr>
          <w:p>
            <w:r>
              <w:rPr>
                <w:b/>
                <w:color w:val="FFFFFF"/>
              </w:rPr>
              <w:t>Type</w:t>
            </w:r>
          </w:p>
        </w:tc>
        <w:tc>
          <w:tcPr>
            <w:tcW w:type="dxa" w:w="2520"/>
            <w:shd w:fill="0F172A"/>
          </w:tcPr>
          <w:p>
            <w:r>
              <w:rPr>
                <w:b/>
                <w:color w:val="FFFFFF"/>
              </w:rPr>
              <w:t>Description &amp; Significance</w:t>
            </w:r>
          </w:p>
        </w:tc>
      </w:tr>
      <w:tr>
        <w:tc>
          <w:tcPr>
            <w:tcW w:type="dxa" w:w="2520"/>
          </w:tcPr>
          <w:p>
            <w:r>
              <w:t>1</w:t>
            </w:r>
          </w:p>
        </w:tc>
        <w:tc>
          <w:tcPr>
            <w:tcW w:type="dxa" w:w="2520"/>
          </w:tcPr>
          <w:p>
            <w:r>
              <w:rPr>
                <w:b/>
              </w:rPr>
              <w:t>url_length</w:t>
            </w:r>
          </w:p>
        </w:tc>
        <w:tc>
          <w:tcPr>
            <w:tcW w:type="dxa" w:w="2520"/>
          </w:tcPr>
          <w:p>
            <w:r>
              <w:t>Numeric</w:t>
            </w:r>
          </w:p>
        </w:tc>
        <w:tc>
          <w:tcPr>
            <w:tcW w:type="dxa" w:w="2520"/>
          </w:tcPr>
          <w:p>
            <w:r>
              <w:t>Total length of URL string.</w:t>
            </w:r>
          </w:p>
        </w:tc>
      </w:tr>
      <w:tr>
        <w:tc>
          <w:tcPr>
            <w:tcW w:type="dxa" w:w="2520"/>
            <w:shd w:fill="F8FAFC"/>
          </w:tcPr>
          <w:p>
            <w:r>
              <w:t>2</w:t>
            </w:r>
          </w:p>
        </w:tc>
        <w:tc>
          <w:tcPr>
            <w:tcW w:type="dxa" w:w="2520"/>
            <w:shd w:fill="F8FAFC"/>
          </w:tcPr>
          <w:p>
            <w:r>
              <w:rPr>
                <w:b/>
              </w:rPr>
              <w:t>domain_length</w:t>
            </w:r>
          </w:p>
        </w:tc>
        <w:tc>
          <w:tcPr>
            <w:tcW w:type="dxa" w:w="2520"/>
            <w:shd w:fill="F8FAFC"/>
          </w:tcPr>
          <w:p>
            <w:r>
              <w:t>Numeric</w:t>
            </w:r>
          </w:p>
        </w:tc>
        <w:tc>
          <w:tcPr>
            <w:tcW w:type="dxa" w:w="2520"/>
            <w:shd w:fill="F8FAFC"/>
          </w:tcPr>
          <w:p>
            <w:r>
              <w:t>Character count of domain hostname.</w:t>
            </w:r>
          </w:p>
        </w:tc>
      </w:tr>
      <w:tr>
        <w:tc>
          <w:tcPr>
            <w:tcW w:type="dxa" w:w="2520"/>
          </w:tcPr>
          <w:p>
            <w:r>
              <w:t>3</w:t>
            </w:r>
          </w:p>
        </w:tc>
        <w:tc>
          <w:tcPr>
            <w:tcW w:type="dxa" w:w="2520"/>
          </w:tcPr>
          <w:p>
            <w:r>
              <w:rPr>
                <w:b/>
              </w:rPr>
              <w:t>path_length</w:t>
            </w:r>
          </w:p>
        </w:tc>
        <w:tc>
          <w:tcPr>
            <w:tcW w:type="dxa" w:w="2520"/>
          </w:tcPr>
          <w:p>
            <w:r>
              <w:t>Numeric</w:t>
            </w:r>
          </w:p>
        </w:tc>
        <w:tc>
          <w:tcPr>
            <w:tcW w:type="dxa" w:w="2520"/>
          </w:tcPr>
          <w:p>
            <w:r>
              <w:t>Character count of path portion.</w:t>
            </w:r>
          </w:p>
        </w:tc>
      </w:tr>
      <w:tr>
        <w:tc>
          <w:tcPr>
            <w:tcW w:type="dxa" w:w="2520"/>
            <w:shd w:fill="F8FAFC"/>
          </w:tcPr>
          <w:p>
            <w:r>
              <w:t>4</w:t>
            </w:r>
          </w:p>
        </w:tc>
        <w:tc>
          <w:tcPr>
            <w:tcW w:type="dxa" w:w="2520"/>
            <w:shd w:fill="F8FAFC"/>
          </w:tcPr>
          <w:p>
            <w:r>
              <w:rPr>
                <w:b/>
              </w:rPr>
              <w:t>num_dots</w:t>
            </w:r>
          </w:p>
        </w:tc>
        <w:tc>
          <w:tcPr>
            <w:tcW w:type="dxa" w:w="2520"/>
            <w:shd w:fill="F8FAFC"/>
          </w:tcPr>
          <w:p>
            <w:r>
              <w:t>Numeric</w:t>
            </w:r>
          </w:p>
        </w:tc>
        <w:tc>
          <w:tcPr>
            <w:tcW w:type="dxa" w:w="2520"/>
            <w:shd w:fill="F8FAFC"/>
          </w:tcPr>
          <w:p>
            <w:r>
              <w:t>Count of dot (.) characters.</w:t>
            </w:r>
          </w:p>
        </w:tc>
      </w:tr>
      <w:tr>
        <w:tc>
          <w:tcPr>
            <w:tcW w:type="dxa" w:w="2520"/>
          </w:tcPr>
          <w:p>
            <w:r>
              <w:t>5</w:t>
            </w:r>
          </w:p>
        </w:tc>
        <w:tc>
          <w:tcPr>
            <w:tcW w:type="dxa" w:w="2520"/>
          </w:tcPr>
          <w:p>
            <w:r>
              <w:rPr>
                <w:b/>
              </w:rPr>
              <w:t>num_hyphens</w:t>
            </w:r>
          </w:p>
        </w:tc>
        <w:tc>
          <w:tcPr>
            <w:tcW w:type="dxa" w:w="2520"/>
          </w:tcPr>
          <w:p>
            <w:r>
              <w:t>Numeric</w:t>
            </w:r>
          </w:p>
        </w:tc>
        <w:tc>
          <w:tcPr>
            <w:tcW w:type="dxa" w:w="2520"/>
          </w:tcPr>
          <w:p>
            <w:r>
              <w:t>Count of hyphen (-) characters.</w:t>
            </w:r>
          </w:p>
        </w:tc>
      </w:tr>
      <w:tr>
        <w:tc>
          <w:tcPr>
            <w:tcW w:type="dxa" w:w="2520"/>
            <w:shd w:fill="F8FAFC"/>
          </w:tcPr>
          <w:p>
            <w:r>
              <w:t>6</w:t>
            </w:r>
          </w:p>
        </w:tc>
        <w:tc>
          <w:tcPr>
            <w:tcW w:type="dxa" w:w="2520"/>
            <w:shd w:fill="F8FAFC"/>
          </w:tcPr>
          <w:p>
            <w:r>
              <w:rPr>
                <w:b/>
              </w:rPr>
              <w:t>num_underscores</w:t>
            </w:r>
          </w:p>
        </w:tc>
        <w:tc>
          <w:tcPr>
            <w:tcW w:type="dxa" w:w="2520"/>
            <w:shd w:fill="F8FAFC"/>
          </w:tcPr>
          <w:p>
            <w:r>
              <w:t>Numeric</w:t>
            </w:r>
          </w:p>
        </w:tc>
        <w:tc>
          <w:tcPr>
            <w:tcW w:type="dxa" w:w="2520"/>
            <w:shd w:fill="F8FAFC"/>
          </w:tcPr>
          <w:p>
            <w:r>
              <w:t>Count of underscore (_) characters.</w:t>
            </w:r>
          </w:p>
        </w:tc>
      </w:tr>
      <w:tr>
        <w:tc>
          <w:tcPr>
            <w:tcW w:type="dxa" w:w="2520"/>
          </w:tcPr>
          <w:p>
            <w:r>
              <w:t>7</w:t>
            </w:r>
          </w:p>
        </w:tc>
        <w:tc>
          <w:tcPr>
            <w:tcW w:type="dxa" w:w="2520"/>
          </w:tcPr>
          <w:p>
            <w:r>
              <w:rPr>
                <w:b/>
              </w:rPr>
              <w:t>num_slashes</w:t>
            </w:r>
          </w:p>
        </w:tc>
        <w:tc>
          <w:tcPr>
            <w:tcW w:type="dxa" w:w="2520"/>
          </w:tcPr>
          <w:p>
            <w:r>
              <w:t>Numeric</w:t>
            </w:r>
          </w:p>
        </w:tc>
        <w:tc>
          <w:tcPr>
            <w:tcW w:type="dxa" w:w="2520"/>
          </w:tcPr>
          <w:p>
            <w:r>
              <w:t>Count of slash (/) characters.</w:t>
            </w:r>
          </w:p>
        </w:tc>
      </w:tr>
      <w:tr>
        <w:tc>
          <w:tcPr>
            <w:tcW w:type="dxa" w:w="2520"/>
            <w:shd w:fill="F8FAFC"/>
          </w:tcPr>
          <w:p>
            <w:r>
              <w:t>8</w:t>
            </w:r>
          </w:p>
        </w:tc>
        <w:tc>
          <w:tcPr>
            <w:tcW w:type="dxa" w:w="2520"/>
            <w:shd w:fill="F8FAFC"/>
          </w:tcPr>
          <w:p>
            <w:r>
              <w:rPr>
                <w:b/>
              </w:rPr>
              <w:t>num_query_params</w:t>
            </w:r>
          </w:p>
        </w:tc>
        <w:tc>
          <w:tcPr>
            <w:tcW w:type="dxa" w:w="2520"/>
            <w:shd w:fill="F8FAFC"/>
          </w:tcPr>
          <w:p>
            <w:r>
              <w:t>Numeric</w:t>
            </w:r>
          </w:p>
        </w:tc>
        <w:tc>
          <w:tcPr>
            <w:tcW w:type="dxa" w:w="2520"/>
            <w:shd w:fill="F8FAFC"/>
          </w:tcPr>
          <w:p>
            <w:r>
              <w:t>Count of query parameters.</w:t>
            </w:r>
          </w:p>
        </w:tc>
      </w:tr>
      <w:tr>
        <w:tc>
          <w:tcPr>
            <w:tcW w:type="dxa" w:w="2520"/>
          </w:tcPr>
          <w:p>
            <w:r>
              <w:t>9</w:t>
            </w:r>
          </w:p>
        </w:tc>
        <w:tc>
          <w:tcPr>
            <w:tcW w:type="dxa" w:w="2520"/>
          </w:tcPr>
          <w:p>
            <w:r>
              <w:rPr>
                <w:b/>
              </w:rPr>
              <w:t>num_fragments</w:t>
            </w:r>
          </w:p>
        </w:tc>
        <w:tc>
          <w:tcPr>
            <w:tcW w:type="dxa" w:w="2520"/>
          </w:tcPr>
          <w:p>
            <w:r>
              <w:t>Numeric</w:t>
            </w:r>
          </w:p>
        </w:tc>
        <w:tc>
          <w:tcPr>
            <w:tcW w:type="dxa" w:w="2520"/>
          </w:tcPr>
          <w:p>
            <w:r>
              <w:t>Count of fragment (#) markers.</w:t>
            </w:r>
          </w:p>
        </w:tc>
      </w:tr>
      <w:tr>
        <w:tc>
          <w:tcPr>
            <w:tcW w:type="dxa" w:w="2520"/>
            <w:shd w:fill="F8FAFC"/>
          </w:tcPr>
          <w:p>
            <w:r>
              <w:t>10</w:t>
            </w:r>
          </w:p>
        </w:tc>
        <w:tc>
          <w:tcPr>
            <w:tcW w:type="dxa" w:w="2520"/>
            <w:shd w:fill="F8FAFC"/>
          </w:tcPr>
          <w:p>
            <w:r>
              <w:rPr>
                <w:b/>
              </w:rPr>
              <w:t>num_at_symbols</w:t>
            </w:r>
          </w:p>
        </w:tc>
        <w:tc>
          <w:tcPr>
            <w:tcW w:type="dxa" w:w="2520"/>
            <w:shd w:fill="F8FAFC"/>
          </w:tcPr>
          <w:p>
            <w:r>
              <w:t>Numeric</w:t>
            </w:r>
          </w:p>
        </w:tc>
        <w:tc>
          <w:tcPr>
            <w:tcW w:type="dxa" w:w="2520"/>
            <w:shd w:fill="F8FAFC"/>
          </w:tcPr>
          <w:p>
            <w:r>
              <w:t>Count of @ symbols.</w:t>
            </w:r>
          </w:p>
        </w:tc>
      </w:tr>
      <w:tr>
        <w:tc>
          <w:tcPr>
            <w:tcW w:type="dxa" w:w="2520"/>
          </w:tcPr>
          <w:p>
            <w:r>
              <w:t>11</w:t>
            </w:r>
          </w:p>
        </w:tc>
        <w:tc>
          <w:tcPr>
            <w:tcW w:type="dxa" w:w="2520"/>
          </w:tcPr>
          <w:p>
            <w:r>
              <w:rPr>
                <w:b/>
              </w:rPr>
              <w:t>has_ip_address</w:t>
            </w:r>
          </w:p>
        </w:tc>
        <w:tc>
          <w:tcPr>
            <w:tcW w:type="dxa" w:w="2520"/>
          </w:tcPr>
          <w:p>
            <w:r>
              <w:t>Binary</w:t>
            </w:r>
          </w:p>
        </w:tc>
        <w:tc>
          <w:tcPr>
            <w:tcW w:type="dxa" w:w="2520"/>
          </w:tcPr>
          <w:p>
            <w:r>
              <w:t>Flag for raw IPv4/IPv6 address.</w:t>
            </w:r>
          </w:p>
        </w:tc>
      </w:tr>
      <w:tr>
        <w:tc>
          <w:tcPr>
            <w:tcW w:type="dxa" w:w="2520"/>
            <w:shd w:fill="F8FAFC"/>
          </w:tcPr>
          <w:p>
            <w:r>
              <w:t>12</w:t>
            </w:r>
          </w:p>
        </w:tc>
        <w:tc>
          <w:tcPr>
            <w:tcW w:type="dxa" w:w="2520"/>
            <w:shd w:fill="F8FAFC"/>
          </w:tcPr>
          <w:p>
            <w:r>
              <w:rPr>
                <w:b/>
              </w:rPr>
              <w:t>has_https</w:t>
            </w:r>
          </w:p>
        </w:tc>
        <w:tc>
          <w:tcPr>
            <w:tcW w:type="dxa" w:w="2520"/>
            <w:shd w:fill="F8FAFC"/>
          </w:tcPr>
          <w:p>
            <w:r>
              <w:t>Binary</w:t>
            </w:r>
          </w:p>
        </w:tc>
        <w:tc>
          <w:tcPr>
            <w:tcW w:type="dxa" w:w="2520"/>
            <w:shd w:fill="F8FAFC"/>
          </w:tcPr>
          <w:p>
            <w:r>
              <w:t>Flag for secure HTTPS scheme.</w:t>
            </w:r>
          </w:p>
        </w:tc>
      </w:tr>
      <w:tr>
        <w:tc>
          <w:tcPr>
            <w:tcW w:type="dxa" w:w="2520"/>
          </w:tcPr>
          <w:p>
            <w:r>
              <w:t>13</w:t>
            </w:r>
          </w:p>
        </w:tc>
        <w:tc>
          <w:tcPr>
            <w:tcW w:type="dxa" w:w="2520"/>
          </w:tcPr>
          <w:p>
            <w:r>
              <w:rPr>
                <w:b/>
              </w:rPr>
              <w:t>has_www</w:t>
            </w:r>
          </w:p>
        </w:tc>
        <w:tc>
          <w:tcPr>
            <w:tcW w:type="dxa" w:w="2520"/>
          </w:tcPr>
          <w:p>
            <w:r>
              <w:t>Binary</w:t>
            </w:r>
          </w:p>
        </w:tc>
        <w:tc>
          <w:tcPr>
            <w:tcW w:type="dxa" w:w="2520"/>
          </w:tcPr>
          <w:p>
            <w:r>
              <w:t>Flag for www domain prefix.</w:t>
            </w:r>
          </w:p>
        </w:tc>
      </w:tr>
      <w:tr>
        <w:tc>
          <w:tcPr>
            <w:tcW w:type="dxa" w:w="2520"/>
            <w:shd w:fill="F8FAFC"/>
          </w:tcPr>
          <w:p>
            <w:r>
              <w:t>14</w:t>
            </w:r>
          </w:p>
        </w:tc>
        <w:tc>
          <w:tcPr>
            <w:tcW w:type="dxa" w:w="2520"/>
            <w:shd w:fill="F8FAFC"/>
          </w:tcPr>
          <w:p>
            <w:r>
              <w:rPr>
                <w:b/>
              </w:rPr>
              <w:t>num_digits_in_domain</w:t>
            </w:r>
          </w:p>
        </w:tc>
        <w:tc>
          <w:tcPr>
            <w:tcW w:type="dxa" w:w="2520"/>
            <w:shd w:fill="F8FAFC"/>
          </w:tcPr>
          <w:p>
            <w:r>
              <w:t>Numeric</w:t>
            </w:r>
          </w:p>
        </w:tc>
        <w:tc>
          <w:tcPr>
            <w:tcW w:type="dxa" w:w="2520"/>
            <w:shd w:fill="F8FAFC"/>
          </w:tcPr>
          <w:p>
            <w:r>
              <w:t>Count of digits in domain.</w:t>
            </w:r>
          </w:p>
        </w:tc>
      </w:tr>
      <w:tr>
        <w:tc>
          <w:tcPr>
            <w:tcW w:type="dxa" w:w="2520"/>
          </w:tcPr>
          <w:p>
            <w:r>
              <w:t>15</w:t>
            </w:r>
          </w:p>
        </w:tc>
        <w:tc>
          <w:tcPr>
            <w:tcW w:type="dxa" w:w="2520"/>
          </w:tcPr>
          <w:p>
            <w:r>
              <w:rPr>
                <w:b/>
              </w:rPr>
              <w:t>digit_letter_ratio</w:t>
            </w:r>
          </w:p>
        </w:tc>
        <w:tc>
          <w:tcPr>
            <w:tcW w:type="dxa" w:w="2520"/>
          </w:tcPr>
          <w:p>
            <w:r>
              <w:t>Continuous</w:t>
            </w:r>
          </w:p>
        </w:tc>
        <w:tc>
          <w:tcPr>
            <w:tcW w:type="dxa" w:w="2520"/>
          </w:tcPr>
          <w:p>
            <w:r>
              <w:t>Ratio of digits to letters.</w:t>
            </w:r>
          </w:p>
        </w:tc>
      </w:tr>
      <w:tr>
        <w:tc>
          <w:tcPr>
            <w:tcW w:type="dxa" w:w="2520"/>
            <w:shd w:fill="F8FAFC"/>
          </w:tcPr>
          <w:p>
            <w:r>
              <w:t>16</w:t>
            </w:r>
          </w:p>
        </w:tc>
        <w:tc>
          <w:tcPr>
            <w:tcW w:type="dxa" w:w="2520"/>
            <w:shd w:fill="F8FAFC"/>
          </w:tcPr>
          <w:p>
            <w:r>
              <w:rPr>
                <w:b/>
              </w:rPr>
              <w:t>url_entropy</w:t>
            </w:r>
          </w:p>
        </w:tc>
        <w:tc>
          <w:tcPr>
            <w:tcW w:type="dxa" w:w="2520"/>
            <w:shd w:fill="F8FAFC"/>
          </w:tcPr>
          <w:p>
            <w:r>
              <w:t>Continuous</w:t>
            </w:r>
          </w:p>
        </w:tc>
        <w:tc>
          <w:tcPr>
            <w:tcW w:type="dxa" w:w="2520"/>
            <w:shd w:fill="F8FAFC"/>
          </w:tcPr>
          <w:p>
            <w:r>
              <w:t>Shannon entropy score of URL.</w:t>
            </w:r>
          </w:p>
        </w:tc>
      </w:tr>
      <w:tr>
        <w:tc>
          <w:tcPr>
            <w:tcW w:type="dxa" w:w="2520"/>
          </w:tcPr>
          <w:p>
            <w:r>
              <w:t>17</w:t>
            </w:r>
          </w:p>
        </w:tc>
        <w:tc>
          <w:tcPr>
            <w:tcW w:type="dxa" w:w="2520"/>
          </w:tcPr>
          <w:p>
            <w:r>
              <w:rPr>
                <w:b/>
              </w:rPr>
              <w:t>has_suspicious_tld</w:t>
            </w:r>
          </w:p>
        </w:tc>
        <w:tc>
          <w:tcPr>
            <w:tcW w:type="dxa" w:w="2520"/>
          </w:tcPr>
          <w:p>
            <w:r>
              <w:t>Binary</w:t>
            </w:r>
          </w:p>
        </w:tc>
        <w:tc>
          <w:tcPr>
            <w:tcW w:type="dxa" w:w="2520"/>
          </w:tcPr>
          <w:p>
            <w:r>
              <w:t>Flag for high-abuse TLDs.</w:t>
            </w:r>
          </w:p>
        </w:tc>
      </w:tr>
      <w:tr>
        <w:tc>
          <w:tcPr>
            <w:tcW w:type="dxa" w:w="2520"/>
            <w:shd w:fill="F8FAFC"/>
          </w:tcPr>
          <w:p>
            <w:r>
              <w:t>18</w:t>
            </w:r>
          </w:p>
        </w:tc>
        <w:tc>
          <w:tcPr>
            <w:tcW w:type="dxa" w:w="2520"/>
            <w:shd w:fill="F8FAFC"/>
          </w:tcPr>
          <w:p>
            <w:r>
              <w:rPr>
                <w:b/>
              </w:rPr>
              <w:t>num_subdomains</w:t>
            </w:r>
          </w:p>
        </w:tc>
        <w:tc>
          <w:tcPr>
            <w:tcW w:type="dxa" w:w="2520"/>
            <w:shd w:fill="F8FAFC"/>
          </w:tcPr>
          <w:p>
            <w:r>
              <w:t>Numeric</w:t>
            </w:r>
          </w:p>
        </w:tc>
        <w:tc>
          <w:tcPr>
            <w:tcW w:type="dxa" w:w="2520"/>
            <w:shd w:fill="F8FAFC"/>
          </w:tcPr>
          <w:p>
            <w:r>
              <w:t>Count of sub-domain levels.</w:t>
            </w:r>
          </w:p>
        </w:tc>
      </w:tr>
      <w:tr>
        <w:tc>
          <w:tcPr>
            <w:tcW w:type="dxa" w:w="2520"/>
          </w:tcPr>
          <w:p>
            <w:r>
              <w:t>19</w:t>
            </w:r>
          </w:p>
        </w:tc>
        <w:tc>
          <w:tcPr>
            <w:tcW w:type="dxa" w:w="2520"/>
          </w:tcPr>
          <w:p>
            <w:r>
              <w:rPr>
                <w:b/>
              </w:rPr>
              <w:t>has_shortener</w:t>
            </w:r>
          </w:p>
        </w:tc>
        <w:tc>
          <w:tcPr>
            <w:tcW w:type="dxa" w:w="2520"/>
          </w:tcPr>
          <w:p>
            <w:r>
              <w:t>Binary</w:t>
            </w:r>
          </w:p>
        </w:tc>
        <w:tc>
          <w:tcPr>
            <w:tcW w:type="dxa" w:w="2520"/>
          </w:tcPr>
          <w:p>
            <w:r>
              <w:t>Flag for URL shortening services.</w:t>
            </w:r>
          </w:p>
        </w:tc>
      </w:tr>
      <w:tr>
        <w:tc>
          <w:tcPr>
            <w:tcW w:type="dxa" w:w="2520"/>
            <w:shd w:fill="F8FAFC"/>
          </w:tcPr>
          <w:p>
            <w:r>
              <w:t>20</w:t>
            </w:r>
          </w:p>
        </w:tc>
        <w:tc>
          <w:tcPr>
            <w:tcW w:type="dxa" w:w="2520"/>
            <w:shd w:fill="F8FAFC"/>
          </w:tcPr>
          <w:p>
            <w:r>
              <w:rPr>
                <w:b/>
              </w:rPr>
              <w:t>special_char_ratio</w:t>
            </w:r>
          </w:p>
        </w:tc>
        <w:tc>
          <w:tcPr>
            <w:tcW w:type="dxa" w:w="2520"/>
            <w:shd w:fill="F8FAFC"/>
          </w:tcPr>
          <w:p>
            <w:r>
              <w:t>Continuous</w:t>
            </w:r>
          </w:p>
        </w:tc>
        <w:tc>
          <w:tcPr>
            <w:tcW w:type="dxa" w:w="2520"/>
            <w:shd w:fill="F8FAFC"/>
          </w:tcPr>
          <w:p>
            <w:r>
              <w:t>Ratio of special characters.</w:t>
            </w:r>
          </w:p>
        </w:tc>
      </w:tr>
      <w:tr>
        <w:tc>
          <w:tcPr>
            <w:tcW w:type="dxa" w:w="2520"/>
          </w:tcPr>
          <w:p>
            <w:r>
              <w:t>21</w:t>
            </w:r>
          </w:p>
        </w:tc>
        <w:tc>
          <w:tcPr>
            <w:tcW w:type="dxa" w:w="2520"/>
          </w:tcPr>
          <w:p>
            <w:r>
              <w:rPr>
                <w:b/>
              </w:rPr>
              <w:t>path_entropy</w:t>
            </w:r>
          </w:p>
        </w:tc>
        <w:tc>
          <w:tcPr>
            <w:tcW w:type="dxa" w:w="2520"/>
          </w:tcPr>
          <w:p>
            <w:r>
              <w:t>Continuous</w:t>
            </w:r>
          </w:p>
        </w:tc>
        <w:tc>
          <w:tcPr>
            <w:tcW w:type="dxa" w:w="2520"/>
          </w:tcPr>
          <w:p>
            <w:r>
              <w:t>Shannon entropy of path string.</w:t>
            </w:r>
          </w:p>
        </w:tc>
      </w:tr>
      <w:tr>
        <w:tc>
          <w:tcPr>
            <w:tcW w:type="dxa" w:w="2520"/>
            <w:shd w:fill="F8FAFC"/>
          </w:tcPr>
          <w:p>
            <w:r>
              <w:t>22</w:t>
            </w:r>
          </w:p>
        </w:tc>
        <w:tc>
          <w:tcPr>
            <w:tcW w:type="dxa" w:w="2520"/>
            <w:shd w:fill="F8FAFC"/>
          </w:tcPr>
          <w:p>
            <w:r>
              <w:rPr>
                <w:b/>
              </w:rPr>
              <w:t>has_suspicious_keywords</w:t>
            </w:r>
          </w:p>
        </w:tc>
        <w:tc>
          <w:tcPr>
            <w:tcW w:type="dxa" w:w="2520"/>
            <w:shd w:fill="F8FAFC"/>
          </w:tcPr>
          <w:p>
            <w:r>
              <w:t>Binary</w:t>
            </w:r>
          </w:p>
        </w:tc>
        <w:tc>
          <w:tcPr>
            <w:tcW w:type="dxa" w:w="2520"/>
            <w:shd w:fill="F8FAFC"/>
          </w:tcPr>
          <w:p>
            <w:r>
              <w:t>Flag for phishing keywords.</w:t>
            </w:r>
          </w:p>
        </w:tc>
      </w:tr>
    </w:tbl>
    <w:p>
      <w:pPr>
        <w:pStyle w:val="Heading1"/>
      </w:pPr>
      <w:r>
        <w:rPr>
          <w:color w:val="0F172A"/>
        </w:rPr>
        <w:t>EMPIRICAL MODEL EVALUATION &amp; RESULTS</w:t>
      </w:r>
    </w:p>
    <w:p>
      <w:r>
        <w:t>Model performance measured across 240 test samples (80/20 train-test split on 1,200 synthetic dataset samples):</w:t>
        <w:br/>
        <w:t>• Logistic Regression: Accuracy 100.0%, F1-Score 100.0%, ROC-AUC 1.000</w:t>
        <w:br/>
        <w:t>• Decision Tree: Accuracy 85.0%, F1-Score 86.1%, ROC-AUC 0.850</w:t>
        <w:br/>
        <w:t>• Random Forest: Accuracy 100.0%, F1-Score 100.0%, ROC-AUC 1.000</w:t>
        <w:br/>
        <w:t>• Gradient Boosting: Accuracy 85.0%, F1-Score 86.1%, ROC-AUC 0.887</w:t>
      </w:r>
    </w:p>
    <w:p/>
    <w:p>
      <w:pPr>
        <w:jc w:val="center"/>
      </w:pPr>
      <w:r>
        <w:drawing>
          <wp:inline xmlns:a="http://schemas.openxmlformats.org/drawingml/2006/main" xmlns:pic="http://schemas.openxmlformats.org/drawingml/2006/picture">
            <wp:extent cx="5486400" cy="2904565"/>
            <wp:docPr id="1" name="Picture 1"/>
            <wp:cNvGraphicFramePr>
              <a:graphicFrameLocks noChangeAspect="1"/>
            </wp:cNvGraphicFramePr>
            <a:graphic>
              <a:graphicData uri="http://schemas.openxmlformats.org/drawingml/2006/picture">
                <pic:pic>
                  <pic:nvPicPr>
                    <pic:cNvPr id="0" name="models_comparison.png"/>
                    <pic:cNvPicPr/>
                  </pic:nvPicPr>
                  <pic:blipFill>
                    <a:blip r:embed="rId9"/>
                    <a:stretch>
                      <a:fillRect/>
                    </a:stretch>
                  </pic:blipFill>
                  <pic:spPr>
                    <a:xfrm>
                      <a:off x="0" y="0"/>
                      <a:ext cx="5486400" cy="2904565"/>
                    </a:xfrm>
                    <a:prstGeom prst="rect"/>
                  </pic:spPr>
                </pic:pic>
              </a:graphicData>
            </a:graphic>
          </wp:inline>
        </w:drawing>
      </w:r>
    </w:p>
    <w:p/>
    <w:p>
      <w:pPr>
        <w:jc w:val="center"/>
      </w:pPr>
      <w:r>
        <w:drawing>
          <wp:inline xmlns:a="http://schemas.openxmlformats.org/drawingml/2006/main" xmlns:pic="http://schemas.openxmlformats.org/drawingml/2006/picture">
            <wp:extent cx="5486400" cy="480060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486400" cy="4800600"/>
                    </a:xfrm>
                    <a:prstGeom prst="rect"/>
                  </pic:spPr>
                </pic:pic>
              </a:graphicData>
            </a:graphic>
          </wp:inline>
        </w:drawing>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