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Profit-Driven, Fairness-Audited, and Explainable Telecom Customer Churn Prediction: Complete Six-Step Scientific Investigation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20" w:lineRule="auto"/>
        <w:rPr>
          <w:color w:val="475569"/>
          <w:sz w:val="20"/>
          <w:szCs w:val="20"/>
        </w:rPr>
      </w:pPr>
      <w:r w:rsidDel="00000000" w:rsidR="00000000" w:rsidRPr="00000000">
        <w:rPr>
          <w:b w:val="1"/>
          <w:bCs w:val="1"/>
          <w:color w:val="475569"/>
          <w:sz w:val="20"/>
          <w:szCs w:val="20"/>
          <w:rtl w:val="0"/>
        </w:rPr>
        <w:t xml:space="preserve">Project Workspace:</w:t>
      </w:r>
      <w:r w:rsidDel="00000000" w:rsidR="00000000" w:rsidRPr="00000000">
        <w:rPr>
          <w:color w:val="475569"/>
          <w:sz w:val="20"/>
          <w:szCs w:val="20"/>
          <w:rtl w:val="0"/>
        </w:rPr>
        <w:t xml:space="preserve"> </w:t>
      </w:r>
      <w:hyperlink r:id="rId6">
        <w:r w:rsidDel="00000000" w:rsidR="00000000" w:rsidRPr="00000000">
          <w:rPr>
            <w:color w:val="0000ee"/>
            <w:sz w:val="20"/>
            <w:szCs w:val="20"/>
            <w:u w:val="single"/>
            <w:rtl w:val="0"/>
          </w:rPr>
          <w:t xml:space="preserve">Project1_Telecom_Churn_EMPC_Fairness_XAI</w:t>
        </w:r>
      </w:hyperlink>
      <w:r w:rsidDel="00000000" w:rsidR="00000000" w:rsidRPr="00000000">
        <w:rPr>
          <w:color w:val="475569"/>
          <w:sz w:val="20"/>
          <w:szCs w:val="20"/>
          <w:rtl w:val="0"/>
        </w:rPr>
        <w:t xml:space="preserve"> | </w:t>
      </w:r>
      <w:r w:rsidDel="00000000" w:rsidR="00000000" w:rsidRPr="00000000">
        <w:rPr>
          <w:b w:val="1"/>
          <w:bCs w:val="1"/>
          <w:color w:val="475569"/>
          <w:sz w:val="20"/>
          <w:szCs w:val="20"/>
          <w:rtl w:val="0"/>
        </w:rPr>
        <w:t xml:space="preserve">Benchmark Dataset:</w:t>
      </w:r>
      <w:r w:rsidDel="00000000" w:rsidR="00000000" w:rsidRPr="00000000">
        <w:rPr>
          <w:color w:val="475569"/>
          <w:sz w:val="20"/>
          <w:szCs w:val="20"/>
          <w:rtl w:val="0"/>
        </w:rPr>
        <w:t xml:space="preserve"> IBM Telco Customer Churn (WA_Fn-UseC_-Telco-Customer-Churn.csv, </w:t>
      </w:r>
      <w:r w:rsidDel="00000000" w:rsidR="00000000" w:rsidRPr="00000000">
        <w:rPr>
          <w:i w:val="1"/>
          <w:iCs w:val="1"/>
          <w:color w:val="475569"/>
          <w:sz w:val="20"/>
          <w:szCs w:val="20"/>
          <w:rtl w:val="0"/>
        </w:rPr>
        <w:t xml:space="preserve">N</w:t>
      </w:r>
      <w:r w:rsidDel="00000000" w:rsidR="00000000" w:rsidRPr="00000000">
        <w:rPr>
          <w:color w:val="475569"/>
          <w:sz w:val="20"/>
          <w:szCs w:val="20"/>
          <w:rtl w:val="0"/>
        </w:rPr>
        <w:t xml:space="preserve"> = 7,043; Train </w:t>
      </w:r>
      <w:r w:rsidDel="00000000" w:rsidR="00000000" w:rsidRPr="00000000">
        <w:rPr>
          <w:i w:val="1"/>
          <w:iCs w:val="1"/>
          <w:color w:val="475569"/>
          <w:sz w:val="20"/>
          <w:szCs w:val="20"/>
          <w:rtl w:val="0"/>
        </w:rPr>
        <w:t xml:space="preserve">n</w:t>
      </w:r>
      <w:r w:rsidDel="00000000" w:rsidR="00000000" w:rsidRPr="00000000">
        <w:rPr>
          <w:color w:val="475569"/>
          <w:sz w:val="20"/>
          <w:szCs w:val="20"/>
          <w:rtl w:val="0"/>
        </w:rPr>
        <w:t xml:space="preserve"> = 5,634, Test </w:t>
      </w:r>
      <w:r w:rsidDel="00000000" w:rsidR="00000000" w:rsidRPr="00000000">
        <w:rPr>
          <w:i w:val="1"/>
          <w:iCs w:val="1"/>
          <w:color w:val="475569"/>
          <w:sz w:val="20"/>
          <w:szCs w:val="20"/>
          <w:rtl w:val="0"/>
        </w:rPr>
        <w:t xml:space="preserve">n</w:t>
      </w:r>
      <w:r w:rsidDel="00000000" w:rsidR="00000000" w:rsidRPr="00000000">
        <w:rPr>
          <w:color w:val="475569"/>
          <w:sz w:val="20"/>
          <w:szCs w:val="20"/>
          <w:rtl w:val="0"/>
        </w:rPr>
        <w:t xml:space="preserve"> = 1,409) | </w:t>
      </w:r>
      <w:r w:rsidDel="00000000" w:rsidR="00000000" w:rsidRPr="00000000">
        <w:rPr>
          <w:b w:val="1"/>
          <w:bCs w:val="1"/>
          <w:color w:val="475569"/>
          <w:sz w:val="20"/>
          <w:szCs w:val="20"/>
          <w:rtl w:val="0"/>
        </w:rPr>
        <w:t xml:space="preserve">Status:</w:t>
      </w:r>
      <w:r w:rsidDel="00000000" w:rsidR="00000000" w:rsidRPr="00000000">
        <w:rPr>
          <w:color w:val="475569"/>
          <w:sz w:val="20"/>
          <w:szCs w:val="20"/>
          <w:rtl w:val="0"/>
        </w:rPr>
        <w:t xml:space="preserve"> All 6 Steps Completed (End-to-End Scientific Synthesis)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Abstract &amp; Research Gap Synthesis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lineRule="auto"/>
        <w:rPr/>
      </w:pPr>
      <w:r w:rsidDel="00000000" w:rsidR="00000000" w:rsidRPr="00000000">
        <w:pict>
          <v:rect style="width:0.0pt;height:1.5pt" o:hr="t" o:hrstd="t" o:hralign="center" fillcolor="#A0A0A0" stroked="f"/>
        </w:pict>
      </w:r>
      <w:r w:rsidDel="00000000" w:rsidR="00000000" w:rsidRPr="00000000">
        <w:rPr>
          <w:rtl w:val="0"/>
        </w:rPr>
        <w:t xml:space="preserve">Customer churn prediction in competitive telecommunications markets faces three persistent methodological gaps documented in our research matrix (</w:t>
      </w:r>
      <w:hyperlink r:id="rId7">
        <w:r w:rsidDel="00000000" w:rsidR="00000000" w:rsidRPr="00000000">
          <w:rPr>
            <w:color w:val="0000ee"/>
            <w:u w:val="single"/>
            <w:rtl w:val="0"/>
          </w:rPr>
          <w:t xml:space="preserve">Research_Papers_And_Projects</w:t>
        </w:r>
      </w:hyperlink>
      <w:r w:rsidDel="00000000" w:rsidR="00000000" w:rsidRPr="00000000">
        <w:rPr>
          <w:rtl w:val="0"/>
        </w:rPr>
        <w:t xml:space="preserve">, Rows 10 &amp; 21; </w:t>
      </w:r>
      <w:hyperlink r:id="rId8">
        <w:r w:rsidDel="00000000" w:rsidR="00000000" w:rsidRPr="00000000">
          <w:rPr>
            <w:color w:val="0000ee"/>
            <w:u w:val="single"/>
            <w:rtl w:val="0"/>
          </w:rPr>
          <w:t xml:space="preserve">Chen et al., 2025</w:t>
        </w:r>
      </w:hyperlink>
      <w:r w:rsidDel="00000000" w:rsidR="00000000" w:rsidRPr="00000000">
        <w:rPr>
          <w:rtl w:val="0"/>
        </w:rPr>
        <w:t xml:space="preserve">; </w:t>
      </w:r>
      <w:hyperlink r:id="rId9">
        <w:r w:rsidDel="00000000" w:rsidR="00000000" w:rsidRPr="00000000">
          <w:rPr>
            <w:color w:val="0000ee"/>
            <w:u w:val="single"/>
            <w:rtl w:val="0"/>
          </w:rPr>
          <w:t xml:space="preserve">Imani et al., 2025</w:t>
        </w:r>
      </w:hyperlink>
      <w:r w:rsidDel="00000000" w:rsidR="00000000" w:rsidRPr="00000000">
        <w:rPr>
          <w:rtl w:val="0"/>
        </w:rPr>
        <w:t xml:space="preserve">; </w:t>
      </w:r>
      <w:hyperlink r:id="rId10">
        <w:r w:rsidDel="00000000" w:rsidR="00000000" w:rsidRPr="00000000">
          <w:rPr>
            <w:color w:val="0000ee"/>
            <w:u w:val="single"/>
            <w:rtl w:val="0"/>
          </w:rPr>
          <w:t xml:space="preserve">Höppner et al., 2020</w:t>
        </w:r>
      </w:hyperlink>
      <w:r w:rsidDel="00000000" w:rsidR="00000000" w:rsidRPr="00000000">
        <w:rPr>
          <w:rtl w:val="0"/>
        </w:rPr>
        <w:t xml:space="preserve">): (1) optimizing symmetric accuracy or F1-score at a fixed 0.50 probability cutoff rather than maximizing net retention profit via Expected Maximum Profit for Customer Churn (EMPC), (2) overlooking demographic disparate impact and equal opportunity across protected cohorts (SeniorCitizen and gender), and (3) deploying black-box ensembles without post-hoc game-theoretic attribution (SHAP) to translate risk scores into individualized retention interventions. Across six sequential experimental stages on the IBM Telco benchmark (</w:t>
      </w:r>
      <w:r w:rsidDel="00000000" w:rsidR="00000000" w:rsidRPr="00000000">
        <w:rPr>
          <w:i w:val="1"/>
          <w:iCs w:val="1"/>
          <w:rtl w:val="0"/>
        </w:rPr>
        <w:t xml:space="preserve">N</w:t>
      </w:r>
      <w:r w:rsidDel="00000000" w:rsidR="00000000" w:rsidRPr="00000000">
        <w:rPr>
          <w:rtl w:val="0"/>
        </w:rPr>
        <w:t xml:space="preserve"> = 7,043), this study resolves all three gaps while maintaining strict epistemic separation between empirical test-set confusion counts and assumed campaign economics.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Complete Reproducible Artifact Index in Google Drive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Root Project Workspace:</w:t>
      </w:r>
      <w:r w:rsidDel="00000000" w:rsidR="00000000" w:rsidRPr="00000000">
        <w:rPr>
          <w:rtl w:val="0"/>
        </w:rPr>
        <w:t xml:space="preserve"> </w:t>
      </w:r>
      <w:hyperlink r:id="rId11">
        <w:r w:rsidDel="00000000" w:rsidR="00000000" w:rsidRPr="00000000">
          <w:rPr>
            <w:color w:val="0000ee"/>
            <w:u w:val="single"/>
            <w:rtl w:val="0"/>
          </w:rPr>
          <w:t xml:space="preserve">Project1_Telecom_Churn_EMPC_Fairness_XAI</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01_Data (</w:t>
      </w:r>
      <w:hyperlink r:id="rId12">
        <w:r w:rsidDel="00000000" w:rsidR="00000000" w:rsidRPr="00000000">
          <w:rPr>
            <w:b w:val="1"/>
            <w:bCs w:val="1"/>
            <w:color w:val="0000ee"/>
            <w:u w:val="single"/>
            <w:rtl w:val="0"/>
          </w:rPr>
          <w:t xml:space="preserve">Folder</w:t>
        </w:r>
      </w:hyperlink>
      <w:r w:rsidDel="00000000" w:rsidR="00000000" w:rsidRPr="00000000">
        <w:rPr>
          <w:b w:val="1"/>
          <w:bCs w:val="1"/>
          <w:rtl w:val="0"/>
        </w:rPr>
        <w:t xml:space="preserve">):</w:t>
      </w:r>
      <w:r w:rsidDel="00000000" w:rsidR="00000000" w:rsidRPr="00000000">
        <w:rPr>
          <w:rtl w:val="0"/>
        </w:rPr>
        <w:t xml:space="preserve"> </w:t>
      </w:r>
      <w:hyperlink r:id="rId13">
        <w:r w:rsidDel="00000000" w:rsidR="00000000" w:rsidRPr="00000000">
          <w:rPr>
            <w:color w:val="0000ee"/>
            <w:u w:val="single"/>
            <w:rtl w:val="0"/>
          </w:rPr>
          <w:t xml:space="preserve">Telco_Churn_11_Blank_TotalCharges_Audit</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02_Colab_Notebooks (</w:t>
      </w:r>
      <w:hyperlink r:id="rId14">
        <w:r w:rsidDel="00000000" w:rsidR="00000000" w:rsidRPr="00000000">
          <w:rPr>
            <w:b w:val="1"/>
            <w:bCs w:val="1"/>
            <w:color w:val="0000ee"/>
            <w:u w:val="single"/>
            <w:rtl w:val="0"/>
          </w:rPr>
          <w:t xml:space="preserve">Folder</w:t>
        </w:r>
      </w:hyperlink>
      <w:r w:rsidDel="00000000" w:rsidR="00000000" w:rsidRPr="00000000">
        <w:rPr>
          <w:b w:val="1"/>
          <w:bCs w:val="1"/>
          <w:rtl w:val="0"/>
        </w:rPr>
        <w:t xml:space="preserve">):</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1: </w:t>
      </w:r>
      <w:hyperlink r:id="rId15">
        <w:r w:rsidDel="00000000" w:rsidR="00000000" w:rsidRPr="00000000">
          <w:rPr>
            <w:color w:val="0000ee"/>
            <w:u w:val="single"/>
            <w:rtl w:val="0"/>
          </w:rPr>
          <w:t xml:space="preserve">Step1_Data_Hygiene_Audit_and_EDA.ipynb</w:t>
        </w:r>
      </w:hyperlink>
      <w:r w:rsidDel="00000000" w:rsidR="00000000" w:rsidRPr="00000000">
        <w:rPr>
          <w:rtl w:val="0"/>
        </w:rPr>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2: </w:t>
      </w:r>
      <w:hyperlink r:id="rId16">
        <w:r w:rsidDel="00000000" w:rsidR="00000000" w:rsidRPr="00000000">
          <w:rPr>
            <w:color w:val="0000ee"/>
            <w:u w:val="single"/>
            <w:rtl w:val="0"/>
          </w:rPr>
          <w:t xml:space="preserve">Step2_Feature_Engineering_and_Preprocessing.ipynb</w:t>
        </w:r>
      </w:hyperlink>
      <w:r w:rsidDel="00000000" w:rsidR="00000000" w:rsidRPr="00000000">
        <w:rPr>
          <w:rtl w:val="0"/>
        </w:rPr>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3: </w:t>
      </w:r>
      <w:hyperlink r:id="rId17">
        <w:r w:rsidDel="00000000" w:rsidR="00000000" w:rsidRPr="00000000">
          <w:rPr>
            <w:color w:val="0000ee"/>
            <w:u w:val="single"/>
            <w:rtl w:val="0"/>
          </w:rPr>
          <w:t xml:space="preserve">Step3_Imbalance_Mitigation_and_Model_Benchmarking.ipynb</w:t>
        </w:r>
      </w:hyperlink>
      <w:r w:rsidDel="00000000" w:rsidR="00000000" w:rsidRPr="00000000">
        <w:rPr>
          <w:rtl w:val="0"/>
        </w:rPr>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4: </w:t>
      </w:r>
      <w:hyperlink r:id="rId18">
        <w:r w:rsidDel="00000000" w:rsidR="00000000" w:rsidRPr="00000000">
          <w:rPr>
            <w:color w:val="0000ee"/>
            <w:u w:val="single"/>
            <w:rtl w:val="0"/>
          </w:rPr>
          <w:t xml:space="preserve">Step4_EMPC_Profit_Threshold_Optimization.ipynb</w:t>
        </w:r>
      </w:hyperlink>
      <w:r w:rsidDel="00000000" w:rsidR="00000000" w:rsidRPr="00000000">
        <w:rPr>
          <w:rtl w:val="0"/>
        </w:rPr>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5: </w:t>
      </w:r>
      <w:hyperlink r:id="rId19">
        <w:r w:rsidDel="00000000" w:rsidR="00000000" w:rsidRPr="00000000">
          <w:rPr>
            <w:color w:val="0000ee"/>
            <w:u w:val="single"/>
            <w:rtl w:val="0"/>
          </w:rPr>
          <w:t xml:space="preserve">Step5_Demographic_Fairness_Audit.ipynb</w:t>
        </w:r>
      </w:hyperlink>
      <w:r w:rsidDel="00000000" w:rsidR="00000000" w:rsidRPr="00000000">
        <w:rPr>
          <w:rtl w:val="0"/>
        </w:rPr>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6: </w:t>
      </w:r>
      <w:hyperlink r:id="rId20">
        <w:r w:rsidDel="00000000" w:rsidR="00000000" w:rsidRPr="00000000">
          <w:rPr>
            <w:color w:val="0000ee"/>
            <w:u w:val="single"/>
            <w:rtl w:val="0"/>
          </w:rPr>
          <w:t xml:space="preserve">Step6_SHAP_Explainable_AI_and_Synthesis.ipynb</w:t>
        </w:r>
      </w:hyperlink>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03_Figures_and_Tables (</w:t>
      </w:r>
      <w:hyperlink r:id="rId21">
        <w:r w:rsidDel="00000000" w:rsidR="00000000" w:rsidRPr="00000000">
          <w:rPr>
            <w:b w:val="1"/>
            <w:bCs w:val="1"/>
            <w:color w:val="0000ee"/>
            <w:u w:val="single"/>
            <w:rtl w:val="0"/>
          </w:rPr>
          <w:t xml:space="preserve">Folder</w:t>
        </w:r>
      </w:hyperlink>
      <w:r w:rsidDel="00000000" w:rsidR="00000000" w:rsidRPr="00000000">
        <w:rPr>
          <w:b w:val="1"/>
          <w:bCs w:val="1"/>
          <w:rtl w:val="0"/>
        </w:rPr>
        <w:t xml:space="preserve">):</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1 Table: </w:t>
      </w:r>
      <w:hyperlink r:id="rId22">
        <w:r w:rsidDel="00000000" w:rsidR="00000000" w:rsidRPr="00000000">
          <w:rPr>
            <w:color w:val="0000ee"/>
            <w:u w:val="single"/>
            <w:rtl w:val="0"/>
          </w:rPr>
          <w:t xml:space="preserve">Step1_Cohort_Churn_Summary_Table</w:t>
        </w:r>
      </w:hyperlink>
      <w:r w:rsidDel="00000000" w:rsidR="00000000" w:rsidRPr="00000000">
        <w:rPr>
          <w:rtl w:val="0"/>
        </w:rPr>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2 Table: </w:t>
      </w:r>
      <w:hyperlink r:id="rId23">
        <w:r w:rsidDel="00000000" w:rsidR="00000000" w:rsidRPr="00000000">
          <w:rPr>
            <w:color w:val="0000ee"/>
            <w:u w:val="single"/>
            <w:rtl w:val="0"/>
          </w:rPr>
          <w:t xml:space="preserve">Step2_Engineered_Features_and_VIF_Audit</w:t>
        </w:r>
      </w:hyperlink>
      <w:r w:rsidDel="00000000" w:rsidR="00000000" w:rsidRPr="00000000">
        <w:rPr>
          <w:rtl w:val="0"/>
        </w:rPr>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3 Table: </w:t>
      </w:r>
      <w:hyperlink r:id="rId24">
        <w:r w:rsidDel="00000000" w:rsidR="00000000" w:rsidRPr="00000000">
          <w:rPr>
            <w:color w:val="0000ee"/>
            <w:u w:val="single"/>
            <w:rtl w:val="0"/>
          </w:rPr>
          <w:t xml:space="preserve">Step3_MultiModel_Imbalance_Benchmark_Table</w:t>
        </w:r>
      </w:hyperlink>
      <w:r w:rsidDel="00000000" w:rsidR="00000000" w:rsidRPr="00000000">
        <w:rPr>
          <w:rtl w:val="0"/>
        </w:rPr>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4 Table: </w:t>
      </w:r>
      <w:hyperlink r:id="rId25">
        <w:r w:rsidDel="00000000" w:rsidR="00000000" w:rsidRPr="00000000">
          <w:rPr>
            <w:color w:val="0000ee"/>
            <w:u w:val="single"/>
            <w:rtl w:val="0"/>
          </w:rPr>
          <w:t xml:space="preserve">Step4_EMPC_Parameter_and_Threshold_Protocol</w:t>
        </w:r>
      </w:hyperlink>
      <w:r w:rsidDel="00000000" w:rsidR="00000000" w:rsidRPr="00000000">
        <w:rPr>
          <w:rtl w:val="0"/>
        </w:rPr>
      </w:r>
    </w:p>
    <w:p w:rsidR="00000000" w:rsidDel="00000000" w:rsidP="00000000" w:rsidRDefault="00000000" w:rsidRPr="00000000" w14:paraId="00000014">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5 Table: </w:t>
      </w:r>
      <w:hyperlink r:id="rId26">
        <w:r w:rsidDel="00000000" w:rsidR="00000000" w:rsidRPr="00000000">
          <w:rPr>
            <w:color w:val="0000ee"/>
            <w:u w:val="single"/>
            <w:rtl w:val="0"/>
          </w:rPr>
          <w:t xml:space="preserve">Step5_Demographic_Fairness_Audit_Table</w:t>
        </w:r>
      </w:hyperlink>
      <w:r w:rsidDel="00000000" w:rsidR="00000000" w:rsidRPr="00000000">
        <w:rPr>
          <w:rtl w:val="0"/>
        </w:rPr>
      </w:r>
    </w:p>
    <w:p w:rsidR="00000000" w:rsidDel="00000000" w:rsidP="00000000" w:rsidRDefault="00000000" w:rsidRPr="00000000" w14:paraId="00000015">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 6 Table: </w:t>
      </w:r>
      <w:hyperlink r:id="rId27">
        <w:r w:rsidDel="00000000" w:rsidR="00000000" w:rsidRPr="00000000">
          <w:rPr>
            <w:color w:val="0000ee"/>
            <w:u w:val="single"/>
            <w:rtl w:val="0"/>
          </w:rPr>
          <w:t xml:space="preserve">Step6_SHAP_Global_and_Local_Attribution_Table</w:t>
        </w:r>
      </w:hyperlink>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Summary of Steps 1–5 (Data Hygiene, Orthogonalization, Imbalance, EMPC &amp; Fairness)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Step 1 (Data Hygiene &amp; EDA):</w:t>
      </w:r>
      <w:r w:rsidDel="00000000" w:rsidR="00000000" w:rsidRPr="00000000">
        <w:rPr>
          <w:rtl w:val="0"/>
        </w:rPr>
        <w:t xml:space="preserve"> Resolved the 11 whitespace strings in TotalCharges by proving all 11 records have tenure == 0, Churn == "No", and 1- or 2-year commitments; deterministic 0.00 imputation retains all 7,043 accounts (26.54% churn; 2.7686:1 class imbalance).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2 (Feature Engineering &amp; VIF Orthogonalization):</w:t>
      </w:r>
      <w:r w:rsidDel="00000000" w:rsidR="00000000" w:rsidRPr="00000000">
        <w:rPr>
          <w:rtl w:val="0"/>
        </w:rPr>
        <w:t xml:space="preserve"> Engineered 10 domain features on the 80/20 stratified split (</w:t>
      </w:r>
      <w:r w:rsidDel="00000000" w:rsidR="00000000" w:rsidRPr="00000000">
        <w:rPr>
          <w:i w:val="1"/>
          <w:iCs w:val="1"/>
          <w:rtl w:val="0"/>
        </w:rPr>
        <w:t xml:space="preserve">n</w:t>
      </w:r>
      <w:r w:rsidDel="00000000" w:rsidR="00000000" w:rsidRPr="00000000">
        <w:rPr>
          <w:vertAlign w:val="subscript"/>
          <w:rtl w:val="0"/>
        </w:rPr>
        <w:t xml:space="preserve">train</w:t>
      </w:r>
      <w:r w:rsidDel="00000000" w:rsidR="00000000" w:rsidRPr="00000000">
        <w:rPr>
          <w:rtl w:val="0"/>
        </w:rPr>
        <w:t xml:space="preserve"> = 5,634, </w:t>
      </w:r>
      <w:r w:rsidDel="00000000" w:rsidR="00000000" w:rsidRPr="00000000">
        <w:rPr>
          <w:i w:val="1"/>
          <w:iCs w:val="1"/>
          <w:rtl w:val="0"/>
        </w:rPr>
        <w:t xml:space="preserve">n</w:t>
      </w:r>
      <w:r w:rsidDel="00000000" w:rsidR="00000000" w:rsidRPr="00000000">
        <w:rPr>
          <w:vertAlign w:val="subscript"/>
          <w:rtl w:val="0"/>
        </w:rPr>
        <w:t xml:space="preserve">test</w:t>
      </w:r>
      <w:r w:rsidDel="00000000" w:rsidR="00000000" w:rsidRPr="00000000">
        <w:rPr>
          <w:rFonts w:ascii="Arial Unicode MS" w:cs="Arial Unicode MS" w:eastAsia="Arial Unicode MS" w:hAnsi="Arial Unicode MS"/>
          <w:rtl w:val="0"/>
        </w:rPr>
        <w:t xml:space="preserve"> = 1,409), eliminating the infinite dummy-variable trap (VIF = ∞) across internet/phone sub-services and replacing raw TotalCharges (VIF = 9.53–10.81) with Billing_Overage_Residual = (MonthlyCharges · tenure) - TotalCharges (VIF = 1.08), reducing maximum VIF across all continuous predictors below 2.34.</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3 (Imbalance Mitigation &amp; 6-Model Benchmark):</w:t>
      </w:r>
      <w:r w:rsidDel="00000000" w:rsidR="00000000" w:rsidRPr="00000000">
        <w:rPr>
          <w:rtl w:val="0"/>
        </w:rPr>
        <w:t xml:space="preserve"> Evaluated Logistic Regression, Random Forest, XGBoost, LightGBM, CatBoost, and a 3×32 ReLU MLP across Unresampled, Cost-Sensitive / Focal Loss (w_1 = 2.7686), Train-Only SMOTE, and Train-Only SMOTE-ENN regimes. </w:t>
      </w:r>
      <w:r w:rsidDel="00000000" w:rsidR="00000000" w:rsidRPr="00000000">
        <w:rPr>
          <w:b w:val="1"/>
          <w:bCs w:val="1"/>
          <w:rtl w:val="0"/>
        </w:rPr>
        <w:t xml:space="preserve">CatBoost</w:t>
      </w:r>
      <w:r w:rsidDel="00000000" w:rsidR="00000000" w:rsidRPr="00000000">
        <w:rPr>
          <w:rtl w:val="0"/>
        </w:rPr>
        <w:t xml:space="preserve"> achieved the highest ranking discrimination (ROC-AUC = 0.856, PR-AUC = 0.684, Calibrated Brier = 0.132), while Train-Only SMOTE-ENN achieved 85.0%–85.6% minority recall.</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4 (Decision Economics &amp; EMPC Optimization):</w:t>
      </w:r>
      <w:r w:rsidDel="00000000" w:rsidR="00000000" w:rsidRPr="00000000">
        <w:rPr>
          <w:rtl w:val="0"/>
        </w:rPr>
        <w:t xml:space="preserve"> Under the canonical telecommunications parameters of Verbraken et al. (2013) and </w:t>
      </w:r>
      <w:hyperlink r:id="rId28">
        <w:r w:rsidDel="00000000" w:rsidR="00000000" w:rsidRPr="00000000">
          <w:rPr>
            <w:color w:val="0000ee"/>
            <w:u w:val="single"/>
            <w:rtl w:val="0"/>
          </w:rPr>
          <w:t xml:space="preserve">Höppner et al. (2020)</w:t>
        </w:r>
      </w:hyperlink>
      <w:r w:rsidDel="00000000" w:rsidR="00000000" w:rsidRPr="00000000">
        <w:rPr>
          <w:rtl w:val="0"/>
        </w:rPr>
        <w:t xml:space="preserve"> (CLV = $200, d = $10, f = $1, γ ~ Beta(6,14) with E[γ] = 0.3000, giving b_TP = $56.00 and c_FP = $11.00), the exact Bayes-optimal calibrated cutoff is t_opt = 11 / (56 + 11) = 0.1642. Shifting calibrated CatBoost from t = 0.5000 (TP=205, FP=102; $10,358 payoff) to t_opt = 0.1642 (TP=332, FP=341; target fraction 47.76%) captures 127 additional churners and raises simulated profit to $14,841 (+43.3%).</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5 (Demographic Fairness Audit):</w:t>
      </w:r>
      <w:r w:rsidDel="00000000" w:rsidR="00000000" w:rsidRPr="00000000">
        <w:rPr>
          <w:rtl w:val="0"/>
        </w:rPr>
        <w:t xml:space="preserve"> Auditing gender confirmed full parity at both t = 0.50 (DIR = 0.9626, EOD = -1.02 pp) and t_opt = 0.1642 (DIR = 0.9788, EOD = -0.12 pp). Auditing SeniorCitizen (41.67% vs. 23.62% base churn rate) demonstrated </w:t>
      </w:r>
      <w:hyperlink r:id="rId29">
        <w:r w:rsidDel="00000000" w:rsidR="00000000" w:rsidRPr="00000000">
          <w:rPr>
            <w:color w:val="0000ee"/>
            <w:u w:val="single"/>
            <w:rtl w:val="0"/>
          </w:rPr>
          <w:t xml:space="preserve">Chouldechova's (2017) Impossibility Theorem</w:t>
        </w:r>
      </w:hyperlink>
      <w:r w:rsidDel="00000000" w:rsidR="00000000" w:rsidRPr="00000000">
        <w:rPr>
          <w:rtl w:val="0"/>
        </w:rPr>
        <w:t xml:space="preserve"> at t = 0.50 (EOD = +22.48 pp), showed that shifting to t_opt = 0.1642 cuts the Equal Opportunity gap by 70.7% (to +6.59 pp), proved that "Fairness Through Unawareness" fails due to proxy collinearity, and established that post-hoc </w:t>
      </w:r>
      <w:r w:rsidDel="00000000" w:rsidR="00000000" w:rsidRPr="00000000">
        <w:rPr>
          <w:b w:val="1"/>
          <w:bCs w:val="1"/>
          <w:rtl w:val="0"/>
        </w:rPr>
        <w:t xml:space="preserve">Equal Opportunity thresholds</w:t>
      </w:r>
      <w:r w:rsidDel="00000000" w:rsidR="00000000" w:rsidRPr="00000000">
        <w:rPr>
          <w:rtl w:val="0"/>
        </w:rPr>
        <w:t xml:space="preserve"> (</w:t>
      </w:r>
      <w:hyperlink r:id="rId30">
        <w:r w:rsidDel="00000000" w:rsidR="00000000" w:rsidRPr="00000000">
          <w:rPr>
            <w:color w:val="0000ee"/>
            <w:u w:val="single"/>
            <w:rtl w:val="0"/>
          </w:rPr>
          <w:t xml:space="preserve">Hardt et al., 2016</w:t>
        </w:r>
      </w:hyperlink>
      <w:r w:rsidDel="00000000" w:rsidR="00000000" w:rsidRPr="00000000">
        <w:rPr>
          <w:rtl w:val="0"/>
        </w:rPr>
        <w:t xml:space="preserve">; t_sen = 0.2180, t_nonsen = 0.1560) achieve EOD = -0.11 pp (88.42% vs. 88.53% recall) at a simulated profit cost of just $23 (0.15%).</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4. Step 6: Post-Hoc Explainable AI (SHAP Global &amp; Local Customer Attribution) &amp; Prescriptive Synthesis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4.1 Cooperative Game-Theoretic Formulation of TreeSHAP in Log-Odds Space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transform the calibrated CatBoost ensemble into an auditable decision-support system (</w:t>
      </w:r>
      <w:hyperlink r:id="rId31">
        <w:r w:rsidDel="00000000" w:rsidR="00000000" w:rsidRPr="00000000">
          <w:rPr>
            <w:color w:val="0000ee"/>
            <w:u w:val="single"/>
            <w:rtl w:val="0"/>
          </w:rPr>
          <w:t xml:space="preserve">Lundberg &amp; Lee, 2017</w:t>
        </w:r>
      </w:hyperlink>
      <w:r w:rsidDel="00000000" w:rsidR="00000000" w:rsidRPr="00000000">
        <w:rPr>
          <w:rtl w:val="0"/>
        </w:rPr>
        <w:t xml:space="preserve">; </w:t>
      </w:r>
      <w:hyperlink r:id="rId32">
        <w:r w:rsidDel="00000000" w:rsidR="00000000" w:rsidRPr="00000000">
          <w:rPr>
            <w:color w:val="0000ee"/>
            <w:u w:val="single"/>
            <w:rtl w:val="0"/>
          </w:rPr>
          <w:t xml:space="preserve">Lundberg et al., 2020</w:t>
        </w:r>
      </w:hyperlink>
      <w:r w:rsidDel="00000000" w:rsidR="00000000" w:rsidRPr="00000000">
        <w:rPr>
          <w:rtl w:val="0"/>
        </w:rPr>
        <w:t xml:space="preserve">), exact polynomial-time </w:t>
      </w:r>
      <w:r w:rsidDel="00000000" w:rsidR="00000000" w:rsidRPr="00000000">
        <w:rPr>
          <w:b w:val="1"/>
          <w:bCs w:val="1"/>
          <w:rtl w:val="0"/>
        </w:rPr>
        <w:t xml:space="preserve">TreeSHAP</w:t>
      </w:r>
      <w:r w:rsidDel="00000000" w:rsidR="00000000" w:rsidRPr="00000000">
        <w:rPr>
          <w:rtl w:val="0"/>
        </w:rPr>
        <w:t xml:space="preserve"> decomposes each test customer's calibrated log-odds prediction f(x_i) = log[p_hat_i / (1 - p_hat_i)] into the base log-odds φ_0 = log(0.2654 / 0.7346) = -1.0181 logits plus the sum of </w:t>
      </w:r>
      <w:r w:rsidDel="00000000" w:rsidR="00000000" w:rsidRPr="00000000">
        <w:rPr>
          <w:i w:val="1"/>
          <w:iCs w:val="1"/>
          <w:rtl w:val="0"/>
        </w:rPr>
        <w:t xml:space="preserve">M</w:t>
      </w:r>
      <w:r w:rsidDel="00000000" w:rsidR="00000000" w:rsidRPr="00000000">
        <w:rPr>
          <w:rtl w:val="0"/>
        </w:rPr>
        <w:t xml:space="preserve"> feature attributions: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f(x_i) = φ_0 + Σ_{j=1}^M φ_j(f, x_i),    where p_hat_i = 1 / [1 + exp(-f(x_i))]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log-odds units, the operating thresholds from Steps 4 and 5 correspond to exact linear boundaries:</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Standard Cost-Blind Cutoff (t = 0.5000):</w:t>
      </w:r>
      <w:r w:rsidDel="00000000" w:rsidR="00000000" w:rsidRPr="00000000">
        <w:rPr>
          <w:rFonts w:ascii="Arial Unicode MS" w:cs="Arial Unicode MS" w:eastAsia="Arial Unicode MS" w:hAnsi="Arial Unicode MS"/>
          <w:rtl w:val="0"/>
        </w:rPr>
        <w:t xml:space="preserve"> f_{0.50} = 0.0000 logits (requires Σ φ_j ≥ +1.0181 logits above base rate).</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4 Global EMPC Cutoff (t_opt = 0.1642):</w:t>
      </w:r>
      <w:r w:rsidDel="00000000" w:rsidR="00000000" w:rsidRPr="00000000">
        <w:rPr>
          <w:rtl w:val="0"/>
        </w:rPr>
        <w:t xml:space="preserve"> f_opt = -1.6273 logits (targets any customer whose net feature shift exceeds -0.6092 logits relative to φ_0).</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5 Equal Opportunity Cutoffs:</w:t>
      </w:r>
      <w:r w:rsidDel="00000000" w:rsidR="00000000" w:rsidRPr="00000000">
        <w:rPr>
          <w:rtl w:val="0"/>
        </w:rPr>
        <w:t xml:space="preserve"> f_sen(0.2180) = -1.2774 logits for Senior Citizens and f_nonsen(0.1560) = -1.6883 logits for Non-Seniors.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Global TreeSHAP Feature Importance &amp; Resolution of Collinear Credit Splitting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The complete 16-row global and local attribution table is archived in </w:t>
      </w:r>
      <w:hyperlink r:id="rId33">
        <w:r w:rsidDel="00000000" w:rsidR="00000000" w:rsidRPr="00000000">
          <w:rPr>
            <w:color w:val="0000ee"/>
            <w:u w:val="single"/>
            <w:rtl w:val="0"/>
          </w:rPr>
          <w:t xml:space="preserve">Step6_SHAP_Global_and_Local_Attribution_Table</w:t>
        </w:r>
      </w:hyperlink>
      <w:r w:rsidDel="00000000" w:rsidR="00000000" w:rsidRPr="00000000">
        <w:rPr>
          <w:rtl w:val="0"/>
        </w:rPr>
        <w:t xml:space="preserve"> and summarized below:</w:t>
      </w:r>
    </w:p>
    <w:tbl>
      <w:tblPr>
        <w:tblStyle w:val="Table1"/>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Global Rank</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Feature Name</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Mean |φ</w:t>
            </w:r>
            <w:r w:rsidDel="00000000" w:rsidR="00000000" w:rsidRPr="00000000">
              <w:rPr>
                <w:i w:val="1"/>
                <w:iCs w:val="1"/>
                <w:color w:val="ffffff"/>
                <w:sz w:val="18"/>
                <w:szCs w:val="18"/>
                <w:shd w:fill="auto" w:val="clear"/>
                <w:vertAlign w:val="subscript"/>
                <w:rtl w:val="0"/>
              </w:rPr>
              <w:t xml:space="preserve">j</w:t>
            </w:r>
            <w:r w:rsidDel="00000000" w:rsidR="00000000" w:rsidRPr="00000000">
              <w:rPr>
                <w:color w:val="ffffff"/>
                <w:sz w:val="18"/>
                <w:szCs w:val="18"/>
                <w:shd w:fill="auto" w:val="clear"/>
                <w:rtl w:val="0"/>
              </w:rPr>
              <w:t xml:space="preserve">| (Log-Odds)</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Share of Explainability</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Directional Mechanism &amp; Step 2 VIF Link</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Prescriptive CRM Retention Trigger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Contract_Tenure_Stability_Index</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0.542 logits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24.81%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Negative (</w:t>
            </w:r>
            <w:r w:rsidDel="00000000" w:rsidR="00000000" w:rsidRPr="00000000">
              <w:rPr>
                <w:i w:val="1"/>
                <w:iCs w:val="1"/>
                <w:sz w:val="18"/>
                <w:szCs w:val="18"/>
                <w:vertAlign w:val="baseline"/>
                <w:rtl w:val="0"/>
              </w:rPr>
              <w:t xml:space="preserve">r</w:t>
            </w:r>
            <w:r w:rsidDel="00000000" w:rsidR="00000000" w:rsidRPr="00000000">
              <w:rPr>
                <w:sz w:val="18"/>
                <w:szCs w:val="18"/>
                <w:vertAlign w:val="baseline"/>
                <w:rtl w:val="0"/>
              </w:rPr>
              <w:t xml:space="preserve"> = -0.412): Concentrates loyalty signal previously split across collinear tenure (0.238) and TotalCharges (0.214)</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Offer $10/mo incentive to migrate Month-to-month subscribers to 1-Year contract</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High_Risk_Fiber_ElecCheck_Flag</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0.318 logits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14.55%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Positive (</w:t>
            </w:r>
            <w:r w:rsidDel="00000000" w:rsidR="00000000" w:rsidRPr="00000000">
              <w:rPr>
                <w:i w:val="1"/>
                <w:iCs w:val="1"/>
                <w:sz w:val="18"/>
                <w:szCs w:val="18"/>
                <w:vertAlign w:val="baseline"/>
                <w:rtl w:val="0"/>
              </w:rPr>
              <w:t xml:space="preserve">r</w:t>
            </w:r>
            <w:r w:rsidDel="00000000" w:rsidR="00000000" w:rsidRPr="00000000">
              <w:rPr>
                <w:sz w:val="18"/>
                <w:szCs w:val="18"/>
                <w:vertAlign w:val="baseline"/>
                <w:rtl w:val="0"/>
              </w:rPr>
              <w:t xml:space="preserve"> = +0.368): Captures the +0.48 to +0.62 logit surge in unprotected Fiber + Electronic check accounts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Targeted Auto-Pay enrollment bonus (</w:t>
            </w:r>
            <m:oMath>
              <m:r>
                <w:rPr>
                  <w:sz w:val="18"/>
                  <w:szCs w:val="18"/>
                  <w:vertAlign w:val="baseline"/>
                </w:rPr>
                <m:t xml:space="preserve">5–</m:t>
              </m:r>
            </m:oMath>
            <w:r w:rsidDel="00000000" w:rsidR="00000000" w:rsidRPr="00000000">
              <w:rPr>
                <w:sz w:val="18"/>
                <w:szCs w:val="18"/>
                <w:vertAlign w:val="baseline"/>
                <w:rtl w:val="0"/>
              </w:rPr>
              <w:t xml:space="preserve">10 credit) + proactive Fiber QoS check</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#3</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Contract_Years_Normalized</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0.264 logits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12.08%</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Negative (</w:t>
            </w:r>
            <w:r w:rsidDel="00000000" w:rsidR="00000000" w:rsidRPr="00000000">
              <w:rPr>
                <w:i w:val="1"/>
                <w:iCs w:val="1"/>
                <w:sz w:val="18"/>
                <w:szCs w:val="18"/>
                <w:vertAlign w:val="baseline"/>
                <w:rtl w:val="0"/>
              </w:rPr>
              <w:t xml:space="preserve">r</w:t>
            </w:r>
            <w:r w:rsidDel="00000000" w:rsidR="00000000" w:rsidRPr="00000000">
              <w:rPr>
                <w:sz w:val="18"/>
                <w:szCs w:val="18"/>
                <w:vertAlign w:val="baseline"/>
                <w:rtl w:val="0"/>
              </w:rPr>
              <w:t xml:space="preserve"> = -0.399): 1-year (-0.42 logits) and 2-year (-0.86 logits) structural commitment buffers (</w:t>
            </w:r>
            <w:hyperlink r:id="rId34">
              <w:r w:rsidDel="00000000" w:rsidR="00000000" w:rsidRPr="00000000">
                <w:rPr>
                  <w:color w:val="0000ee"/>
                  <w:sz w:val="18"/>
                  <w:szCs w:val="18"/>
                  <w:u w:val="single"/>
                  <w:vertAlign w:val="baseline"/>
                  <w:rtl w:val="0"/>
                </w:rPr>
                <w:t xml:space="preserve">Chen et al., 2025</w:t>
              </w:r>
            </w:hyperlink>
            <w:r w:rsidDel="00000000" w:rsidR="00000000" w:rsidRPr="00000000">
              <w:rPr>
                <w:sz w:val="18"/>
                <w:szCs w:val="18"/>
                <w:vertAlign w:val="baseline"/>
                <w:rtl w:val="0"/>
              </w:rPr>
              <w:t xml:space="preserve">)</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Pre-rollover annual renewal discount 30 days prior to contract expiration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#4</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Protection_to_Streaming_Ratio</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0.226 logits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10.34%</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Negative (</w:t>
            </w:r>
            <w:r w:rsidDel="00000000" w:rsidR="00000000" w:rsidRPr="00000000">
              <w:rPr>
                <w:i w:val="1"/>
                <w:iCs w:val="1"/>
                <w:sz w:val="18"/>
                <w:szCs w:val="18"/>
                <w:vertAlign w:val="baseline"/>
                <w:rtl w:val="0"/>
              </w:rPr>
              <w:t xml:space="preserve">r</w:t>
            </w:r>
            <w:r w:rsidDel="00000000" w:rsidR="00000000" w:rsidRPr="00000000">
              <w:rPr>
                <w:sz w:val="18"/>
                <w:szCs w:val="18"/>
                <w:vertAlign w:val="baseline"/>
                <w:rtl w:val="0"/>
              </w:rPr>
              <w:t xml:space="preserve"> = -0.318): High security/tech-support ratio relative to streaming reduces log-odds by -0.38</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Bundle complimentary 3-month OnlineSecurity or TechSupport trial</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Avg_Price_Per_Service</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0.194 logits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8.88%</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Positive (</w:t>
            </w:r>
            <w:r w:rsidDel="00000000" w:rsidR="00000000" w:rsidRPr="00000000">
              <w:rPr>
                <w:i w:val="1"/>
                <w:iCs w:val="1"/>
                <w:sz w:val="18"/>
                <w:szCs w:val="18"/>
                <w:vertAlign w:val="baseline"/>
                <w:rtl w:val="0"/>
              </w:rPr>
              <w:t xml:space="preserve">r</w:t>
            </w:r>
            <w:r w:rsidDel="00000000" w:rsidR="00000000" w:rsidRPr="00000000">
              <w:rPr>
                <w:sz w:val="18"/>
                <w:szCs w:val="18"/>
                <w:vertAlign w:val="baseline"/>
                <w:rtl w:val="0"/>
              </w:rPr>
              <w:t xml:space="preserve"> = +0.276): Unit cost &gt;$25/service drives severe price-to-value attrition (replaces collinear MonthlyCharges)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Restructure unbundled Fiber accounts into multi-service value bundles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#6</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Early_Lifecycle_Onboarding_Flag</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0.172 logits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7.87%</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Positive (</w:t>
            </w:r>
            <w:r w:rsidDel="00000000" w:rsidR="00000000" w:rsidRPr="00000000">
              <w:rPr>
                <w:i w:val="1"/>
                <w:iCs w:val="1"/>
                <w:sz w:val="18"/>
                <w:szCs w:val="18"/>
                <w:vertAlign w:val="baseline"/>
                <w:rtl w:val="0"/>
              </w:rPr>
              <w:t xml:space="preserve">r</w:t>
            </w:r>
            <w:r w:rsidDel="00000000" w:rsidR="00000000" w:rsidRPr="00000000">
              <w:rPr>
                <w:sz w:val="18"/>
                <w:szCs w:val="18"/>
                <w:vertAlign w:val="baseline"/>
                <w:rtl w:val="0"/>
              </w:rPr>
              <w:t xml:space="preserve"> = +0.329): First 5 months add +0.36 to +0.45 logits onboarding vulnerability</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Mandatory 30/60/90-day onboarding concierge check-in call</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#7–#10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tenure (Scaled) (0.148), Protection_AddOn_Count (0.112), Billing_Overage_Residual (0.084), AutoPay_Flag (0.058)</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b w:val="1"/>
                <w:bCs w:val="1"/>
                <w:sz w:val="18"/>
                <w:szCs w:val="18"/>
                <w:vertAlign w:val="baseline"/>
                <w:rtl w:val="0"/>
              </w:rPr>
              <w:t xml:space="preserve">0.402 logits</w:t>
            </w:r>
            <w:r w:rsidDel="00000000" w:rsidR="00000000" w:rsidRPr="00000000">
              <w:rPr>
                <w:sz w:val="18"/>
                <w:szCs w:val="18"/>
                <w:vertAlign w:val="baseline"/>
                <w:rtl w:val="0"/>
              </w:rPr>
              <w:t xml:space="preserve"> (Combined)</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18.39%</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Billing_Overage_Residual (&gt;+$35) cleanly isolates historical bill shock (+0.24 to +0.31 logits) after removing raw TotalCharges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One-time bill-shock adjustment credit for accounts with positive billing residuals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#11–#12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SeniorCitizen (0.049 logits) &amp; gender_Male (0.009 logits)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b w:val="1"/>
                <w:bCs w:val="1"/>
                <w:sz w:val="18"/>
                <w:szCs w:val="18"/>
                <w:vertAlign w:val="baseline"/>
                <w:rtl w:val="0"/>
              </w:rPr>
              <w:t xml:space="preserve">0.058 logits</w:t>
            </w:r>
            <w:r w:rsidDel="00000000" w:rsidR="00000000" w:rsidRPr="00000000">
              <w:rPr>
                <w:sz w:val="18"/>
                <w:szCs w:val="18"/>
                <w:vertAlign w:val="baseline"/>
                <w:rtl w:val="0"/>
              </w:rPr>
              <w:t xml:space="preserve"> (Combined)</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2.65%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Direct demographic attribution is minimal (2.24% for age, 0.41% for gender); 82% of Senior risk is mediated via modifiable Fiber/billing features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Apply Step 5 Equal Opportunity cutoff (t_sen=0.2180) + senior support/Auto-Pay bundle</w:t>
            </w:r>
          </w:p>
        </w:tc>
      </w:tr>
    </w:tbl>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Individual Customer Waterfall Decompositions Across Operating Regimes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Table 2 illustrates how local TreeSHAP decompositions guide precision retention across four held-out test customer archetypes (base log-odds φ_0 = -1.0181):</w:t>
      </w:r>
    </w:p>
    <w:tbl>
      <w:tblPr>
        <w:tblStyle w:val="Table2"/>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Customer Archetype</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Additive TreeSHAP Decomposition (Log-Odds)</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i w:val="1"/>
                <w:iCs w:val="1"/>
                <w:color w:val="ffffff"/>
                <w:sz w:val="18"/>
                <w:szCs w:val="18"/>
                <w:shd w:fill="auto" w:val="clear"/>
                <w:vertAlign w:val="subscript"/>
              </w:rPr>
            </w:pPr>
            <w:r w:rsidDel="00000000" w:rsidR="00000000" w:rsidRPr="00000000">
              <w:rPr>
                <w:color w:val="ffffff"/>
                <w:sz w:val="18"/>
                <w:szCs w:val="18"/>
                <w:shd w:fill="auto" w:val="clear"/>
                <w:rtl w:val="0"/>
              </w:rPr>
              <w:t xml:space="preserve">Final </w:t>
            </w:r>
            <w:r w:rsidDel="00000000" w:rsidR="00000000" w:rsidRPr="00000000">
              <w:rPr>
                <w:i w:val="1"/>
                <w:iCs w:val="1"/>
                <w:color w:val="ffffff"/>
                <w:sz w:val="18"/>
                <w:szCs w:val="18"/>
                <w:shd w:fill="auto" w:val="clear"/>
                <w:rtl w:val="0"/>
              </w:rPr>
              <w:t xml:space="preserve">f</w:t>
            </w:r>
            <w:r w:rsidDel="00000000" w:rsidR="00000000" w:rsidRPr="00000000">
              <w:rPr>
                <w:color w:val="ffffff"/>
                <w:sz w:val="18"/>
                <w:szCs w:val="18"/>
                <w:shd w:fill="auto" w:val="clear"/>
                <w:rtl w:val="0"/>
              </w:rPr>
              <w:t xml:space="preserve">(</w:t>
            </w:r>
            <w:r w:rsidDel="00000000" w:rsidR="00000000" w:rsidRPr="00000000">
              <w:rPr>
                <w:i w:val="1"/>
                <w:iCs w:val="1"/>
                <w:color w:val="ffffff"/>
                <w:sz w:val="18"/>
                <w:szCs w:val="18"/>
                <w:shd w:fill="auto" w:val="clear"/>
                <w:rtl w:val="0"/>
              </w:rPr>
              <w:t xml:space="preserve">x</w:t>
            </w:r>
            <w:r w:rsidDel="00000000" w:rsidR="00000000" w:rsidRPr="00000000">
              <w:rPr>
                <w:i w:val="1"/>
                <w:iCs w:val="1"/>
                <w:color w:val="ffffff"/>
                <w:sz w:val="18"/>
                <w:szCs w:val="18"/>
                <w:shd w:fill="auto" w:val="clear"/>
                <w:vertAlign w:val="subscript"/>
                <w:rtl w:val="0"/>
              </w:rPr>
              <w:t xml:space="preserve">i</w:t>
            </w:r>
            <w:r w:rsidDel="00000000" w:rsidR="00000000" w:rsidRPr="00000000">
              <w:rPr>
                <w:color w:val="ffffff"/>
                <w:sz w:val="18"/>
                <w:szCs w:val="18"/>
                <w:shd w:fill="auto" w:val="clear"/>
                <w:rtl w:val="0"/>
              </w:rPr>
              <w:t xml:space="preserve">) &amp; Calibrated </w:t>
            </w:r>
            <w:r w:rsidDel="00000000" w:rsidR="00000000" w:rsidRPr="00000000">
              <w:rPr>
                <w:i w:val="1"/>
                <w:iCs w:val="1"/>
                <w:color w:val="ffffff"/>
                <w:sz w:val="18"/>
                <w:szCs w:val="18"/>
                <w:shd w:fill="auto" w:val="clear"/>
                <w:rtl w:val="0"/>
              </w:rPr>
              <w:t xml:space="preserve">p̂</w:t>
            </w:r>
            <w:r w:rsidDel="00000000" w:rsidR="00000000" w:rsidRPr="00000000">
              <w:rPr>
                <w:i w:val="1"/>
                <w:iCs w:val="1"/>
                <w:color w:val="ffffff"/>
                <w:sz w:val="18"/>
                <w:szCs w:val="18"/>
                <w:shd w:fill="auto" w:val="clear"/>
                <w:vertAlign w:val="subscript"/>
                <w:rtl w:val="0"/>
              </w:rPr>
              <w:t xml:space="preserve">i</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Decision across Threshold Regimes</w:t>
            </w:r>
          </w:p>
        </w:tc>
        <w:tc>
          <w:tcPr>
            <w:tcBorders>
              <w:top w:color="cbd5e1" w:space="0" w:sz="6" w:val="single"/>
              <w:left w:color="cbd5e1" w:space="0" w:sz="6" w:val="single"/>
              <w:bottom w:color="cbd5e1" w:space="0" w:sz="6" w:val="single"/>
              <w:right w:color="cbd5e1" w:space="0" w:sz="6" w:val="single"/>
            </w:tcBorders>
            <w:shd w:fill="1e3a8a"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color w:val="ffffff"/>
                <w:sz w:val="18"/>
                <w:szCs w:val="18"/>
                <w:shd w:fill="auto" w:val="clear"/>
              </w:rPr>
            </w:pPr>
            <w:r w:rsidDel="00000000" w:rsidR="00000000" w:rsidRPr="00000000">
              <w:rPr>
                <w:color w:val="ffffff"/>
                <w:sz w:val="18"/>
                <w:szCs w:val="18"/>
                <w:shd w:fill="auto" w:val="clear"/>
                <w:rtl w:val="0"/>
              </w:rPr>
              <w:t xml:space="preserve">Expected Payoff &amp; Prescribed CRM Action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#1: Onboarding Unprotected Fiber Churner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(Senior=0, True Churn=1)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φ_0 = -1.018 + Stability_Index (+0.82) + High_Risk_Fiber (+0.54) + Early_Onboarding (+0.41) + Price_Per_Svc (+0.33) + Prot_Ratio (+0.21)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+1.294 logits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i w:val="1"/>
                <w:iCs w:val="1"/>
                <w:sz w:val="18"/>
                <w:szCs w:val="18"/>
                <w:vertAlign w:val="baseline"/>
                <w:rtl w:val="0"/>
              </w:rPr>
              <w:t xml:space="preserve">p̂</w:t>
            </w:r>
            <w:r w:rsidDel="00000000" w:rsidR="00000000" w:rsidRPr="00000000">
              <w:rPr>
                <w:b w:val="1"/>
                <w:bCs w:val="1"/>
                <w:i w:val="1"/>
                <w:iCs w:val="1"/>
                <w:sz w:val="18"/>
                <w:szCs w:val="18"/>
                <w:vertAlign w:val="subscript"/>
                <w:rtl w:val="0"/>
              </w:rPr>
              <w:t xml:space="preserve">i</w:t>
            </w:r>
            <w:r w:rsidDel="00000000" w:rsidR="00000000" w:rsidRPr="00000000">
              <w:rPr>
                <w:b w:val="1"/>
                <w:bCs w:val="1"/>
                <w:sz w:val="18"/>
                <w:szCs w:val="18"/>
                <w:vertAlign w:val="baseline"/>
                <w:rtl w:val="0"/>
              </w:rPr>
              <w:t xml:space="preserve"> = 0.7848 (78.5%)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t=0.50: TARGET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EMPC (0.1642): TARGET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Equal Opp (0.1560): TARGET</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b w:val="1"/>
                <w:bCs w:val="1"/>
                <w:sz w:val="18"/>
                <w:szCs w:val="18"/>
                <w:vertAlign w:val="baseline"/>
                <w:rtl w:val="0"/>
              </w:rPr>
              <w:t xml:space="preserve">+$41.58 E[Profit]</w:t>
            </w:r>
            <w:r w:rsidDel="00000000" w:rsidR="00000000" w:rsidRPr="00000000">
              <w:rPr>
                <w:sz w:val="18"/>
                <w:szCs w:val="18"/>
                <w:vertAlign w:val="baseline"/>
                <w:rtl w:val="0"/>
              </w:rPr>
              <w:t xml:space="preserve"> — Onboarding concierge call + $10 1-year contract &amp; Auto-Pay migration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#2: Mid-Tenure Rate-Hike Churner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(Senior=0, True Churn=1, </w:t>
            </w:r>
            <w:r w:rsidDel="00000000" w:rsidR="00000000" w:rsidRPr="00000000">
              <w:rPr>
                <w:b w:val="1"/>
                <w:bCs w:val="1"/>
                <w:sz w:val="18"/>
                <w:szCs w:val="18"/>
                <w:vertAlign w:val="baseline"/>
                <w:rtl w:val="0"/>
              </w:rPr>
              <w:t xml:space="preserve">Rescued by EMPC</w:t>
            </w:r>
            <w:r w:rsidDel="00000000" w:rsidR="00000000" w:rsidRPr="00000000">
              <w:rPr>
                <w:sz w:val="18"/>
                <w:szCs w:val="18"/>
                <w:vertAlign w:val="baseline"/>
                <w:rtl w:val="0"/>
              </w:rPr>
              <w:t xml:space="preserve">)</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φ_0 = -1.018 + Avg_Price_Per_Svc (+0.34) + Billing_Overage (+0.28) + Month-to-Month (+0.22) + Prot_Ratio (+0.12) - Tenure (-0.52) - Stability (-0.50)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-1.083 logits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i w:val="1"/>
                <w:iCs w:val="1"/>
                <w:sz w:val="18"/>
                <w:szCs w:val="18"/>
                <w:vertAlign w:val="baseline"/>
                <w:rtl w:val="0"/>
              </w:rPr>
              <w:t xml:space="preserve">p̂</w:t>
            </w:r>
            <w:r w:rsidDel="00000000" w:rsidR="00000000" w:rsidRPr="00000000">
              <w:rPr>
                <w:b w:val="1"/>
                <w:bCs w:val="1"/>
                <w:i w:val="1"/>
                <w:iCs w:val="1"/>
                <w:sz w:val="18"/>
                <w:szCs w:val="18"/>
                <w:vertAlign w:val="subscript"/>
                <w:rtl w:val="0"/>
              </w:rPr>
              <w:t xml:space="preserve">i</w:t>
            </w:r>
            <w:r w:rsidDel="00000000" w:rsidR="00000000" w:rsidRPr="00000000">
              <w:rPr>
                <w:b w:val="1"/>
                <w:bCs w:val="1"/>
                <w:sz w:val="18"/>
                <w:szCs w:val="18"/>
                <w:vertAlign w:val="baseline"/>
                <w:rtl w:val="0"/>
              </w:rPr>
              <w:t xml:space="preserve"> = 0.2530 (25.3%)</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sz w:val="18"/>
                <w:szCs w:val="18"/>
                <w:vertAlign w:val="baseline"/>
                <w:rtl w:val="0"/>
              </w:rPr>
              <w:t xml:space="preserve">t=0.50: </w:t>
            </w:r>
            <w:r w:rsidDel="00000000" w:rsidR="00000000" w:rsidRPr="00000000">
              <w:rPr>
                <w:b w:val="1"/>
                <w:bCs w:val="1"/>
                <w:sz w:val="18"/>
                <w:szCs w:val="18"/>
                <w:vertAlign w:val="baseline"/>
                <w:rtl w:val="0"/>
              </w:rPr>
              <w:t xml:space="preserve">MISSED (FN)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sz w:val="18"/>
                <w:szCs w:val="18"/>
                <w:vertAlign w:val="baseline"/>
                <w:rtl w:val="0"/>
              </w:rPr>
              <w:t xml:space="preserve">EMPC (0.1642): </w:t>
            </w:r>
            <w:r w:rsidDel="00000000" w:rsidR="00000000" w:rsidRPr="00000000">
              <w:rPr>
                <w:b w:val="1"/>
                <w:bCs w:val="1"/>
                <w:sz w:val="18"/>
                <w:szCs w:val="18"/>
                <w:vertAlign w:val="baseline"/>
                <w:rtl w:val="0"/>
              </w:rPr>
              <w:t xml:space="preserve">RESCUED (TP)</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sz w:val="18"/>
                <w:szCs w:val="18"/>
                <w:vertAlign w:val="baseline"/>
                <w:rtl w:val="0"/>
              </w:rPr>
              <w:t xml:space="preserve">Equal Opp (0.1560): </w:t>
            </w:r>
            <w:r w:rsidDel="00000000" w:rsidR="00000000" w:rsidRPr="00000000">
              <w:rPr>
                <w:b w:val="1"/>
                <w:bCs w:val="1"/>
                <w:sz w:val="18"/>
                <w:szCs w:val="18"/>
                <w:vertAlign w:val="baseline"/>
                <w:rtl w:val="0"/>
              </w:rPr>
              <w:t xml:space="preserve">RESCUED (TP)</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b w:val="1"/>
                <w:bCs w:val="1"/>
                <w:sz w:val="18"/>
                <w:szCs w:val="18"/>
                <w:vertAlign w:val="baseline"/>
                <w:rtl w:val="0"/>
              </w:rPr>
              <w:t xml:space="preserve">+$5.95 E[Profit]</w:t>
            </w:r>
            <w:r w:rsidDel="00000000" w:rsidR="00000000" w:rsidRPr="00000000">
              <w:rPr>
                <w:sz w:val="18"/>
                <w:szCs w:val="18"/>
                <w:vertAlign w:val="baseline"/>
                <w:rtl w:val="0"/>
              </w:rPr>
              <w:t xml:space="preserve"> — One-time bill-shock credit (offsetting +$68.40 overage) + complimentary TechSupport</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#3: Moderate-Tenure Senior DSL Account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(Senior=1, True Churn=0, </w:t>
            </w:r>
            <w:r w:rsidDel="00000000" w:rsidR="00000000" w:rsidRPr="00000000">
              <w:rPr>
                <w:b w:val="1"/>
                <w:bCs w:val="1"/>
                <w:sz w:val="18"/>
                <w:szCs w:val="18"/>
                <w:vertAlign w:val="baseline"/>
                <w:rtl w:val="0"/>
              </w:rPr>
              <w:t xml:space="preserve">Spared FP by EO</w:t>
            </w:r>
            <w:r w:rsidDel="00000000" w:rsidR="00000000" w:rsidRPr="00000000">
              <w:rPr>
                <w:sz w:val="18"/>
                <w:szCs w:val="18"/>
                <w:vertAlign w:val="baseline"/>
                <w:rtl w:val="0"/>
              </w:rPr>
              <w:t xml:space="preserve">)</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φ_0 = -1.018 - Stability_Index (-0.48) - Protection_AddOns=2 (-0.29) - Price_Per_Svc (-0.20) + Billing_Overage (+0.30) + Mailed_Check (+0.18) + Senior (+0.09)</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-1.416 logits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i w:val="1"/>
                <w:iCs w:val="1"/>
                <w:sz w:val="18"/>
                <w:szCs w:val="18"/>
                <w:vertAlign w:val="baseline"/>
                <w:rtl w:val="0"/>
              </w:rPr>
              <w:t xml:space="preserve">p̂</w:t>
            </w:r>
            <w:r w:rsidDel="00000000" w:rsidR="00000000" w:rsidRPr="00000000">
              <w:rPr>
                <w:b w:val="1"/>
                <w:bCs w:val="1"/>
                <w:i w:val="1"/>
                <w:iCs w:val="1"/>
                <w:sz w:val="18"/>
                <w:szCs w:val="18"/>
                <w:vertAlign w:val="subscript"/>
                <w:rtl w:val="0"/>
              </w:rPr>
              <w:t xml:space="preserve">i</w:t>
            </w:r>
            <w:r w:rsidDel="00000000" w:rsidR="00000000" w:rsidRPr="00000000">
              <w:rPr>
                <w:b w:val="1"/>
                <w:bCs w:val="1"/>
                <w:sz w:val="18"/>
                <w:szCs w:val="18"/>
                <w:vertAlign w:val="baseline"/>
                <w:rtl w:val="0"/>
              </w:rPr>
              <w:t xml:space="preserve"> = 0.1953 (19.5%)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t=0.50: DO NOT TARGET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EMPC (0.1642): False Positive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sz w:val="18"/>
                <w:szCs w:val="18"/>
                <w:vertAlign w:val="baseline"/>
                <w:rtl w:val="0"/>
              </w:rPr>
              <w:t xml:space="preserve">Equal Opp (0.2180): </w:t>
            </w:r>
            <w:r w:rsidDel="00000000" w:rsidR="00000000" w:rsidRPr="00000000">
              <w:rPr>
                <w:b w:val="1"/>
                <w:bCs w:val="1"/>
                <w:sz w:val="18"/>
                <w:szCs w:val="18"/>
                <w:vertAlign w:val="baseline"/>
                <w:rtl w:val="0"/>
              </w:rPr>
              <w:t xml:space="preserve">SPARED (TN)</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b w:val="1"/>
                <w:bCs w:val="1"/>
                <w:sz w:val="18"/>
                <w:szCs w:val="18"/>
                <w:vertAlign w:val="baseline"/>
                <w:rtl w:val="0"/>
              </w:rPr>
              <w:t xml:space="preserve">Saves $11.00 FP Cost</w:t>
            </w:r>
            <w:r w:rsidDel="00000000" w:rsidR="00000000" w:rsidRPr="00000000">
              <w:rPr>
                <w:sz w:val="18"/>
                <w:szCs w:val="18"/>
                <w:vertAlign w:val="baseline"/>
                <w:rtl w:val="0"/>
              </w:rPr>
              <w:t xml:space="preserve"> under Step 5 Equal Opportunity while preserving 88.42% Senior Recall</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#4: Loyal Two-Year Bundled Subscriber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(Senior=0, True Churn=0)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φ_0 = -1.018 - Stability_Index (-1.14) - Two_Year_Contract (-0.86) - Protection_AddOns=4 (-0.42) - AutoPay (-0.26)</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-3.700 logits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i w:val="1"/>
                <w:iCs w:val="1"/>
                <w:sz w:val="18"/>
                <w:szCs w:val="18"/>
                <w:vertAlign w:val="baseline"/>
                <w:rtl w:val="0"/>
              </w:rPr>
              <w:t xml:space="preserve">p̂</w:t>
            </w:r>
            <w:r w:rsidDel="00000000" w:rsidR="00000000" w:rsidRPr="00000000">
              <w:rPr>
                <w:b w:val="1"/>
                <w:bCs w:val="1"/>
                <w:i w:val="1"/>
                <w:iCs w:val="1"/>
                <w:sz w:val="18"/>
                <w:szCs w:val="18"/>
                <w:vertAlign w:val="subscript"/>
                <w:rtl w:val="0"/>
              </w:rPr>
              <w:t xml:space="preserve">i</w:t>
            </w:r>
            <w:r w:rsidDel="00000000" w:rsidR="00000000" w:rsidRPr="00000000">
              <w:rPr>
                <w:b w:val="1"/>
                <w:bCs w:val="1"/>
                <w:sz w:val="18"/>
                <w:szCs w:val="18"/>
                <w:vertAlign w:val="baseline"/>
                <w:rtl w:val="0"/>
              </w:rPr>
              <w:t xml:space="preserve"> = 0.0241 (2.4%)</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t=0.50: DO NOT TARGET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EMPC (0.1642): DO NOT TARGET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Equal Opp (0.1560): DO NOT TARGET</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b w:val="1"/>
                <w:bCs w:val="1"/>
                <w:sz w:val="18"/>
                <w:szCs w:val="18"/>
                <w:vertAlign w:val="baseline"/>
                <w:rtl w:val="0"/>
              </w:rPr>
              <w:t xml:space="preserve">-$9.39 E[Profit] if targeted</w:t>
            </w:r>
            <w:r w:rsidDel="00000000" w:rsidR="00000000" w:rsidRPr="00000000">
              <w:rPr>
                <w:sz w:val="18"/>
                <w:szCs w:val="18"/>
                <w:vertAlign w:val="baseline"/>
                <w:rtl w:val="0"/>
              </w:rPr>
              <w:t xml:space="preserve"> — Zero discount spend; standard automated renewal</w:t>
            </w:r>
          </w:p>
        </w:tc>
      </w:tr>
    </w:tbl>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Technical Challenges Faced &amp; Methodological Resolutions in Step 6</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Challenge C6.1 (Eliminating Collinear Shapley Credit Splitting via Step 2 Orthogonalization):</w:t>
      </w:r>
      <w:r w:rsidDel="00000000" w:rsidR="00000000" w:rsidRPr="00000000">
        <w:rPr>
          <w:rtl w:val="0"/>
        </w:rPr>
        <w:t xml:space="preserve"> Under interventional TreeSHAP (</w:t>
      </w:r>
      <w:hyperlink r:id="rId35">
        <w:r w:rsidDel="00000000" w:rsidR="00000000" w:rsidRPr="00000000">
          <w:rPr>
            <w:color w:val="0000ee"/>
            <w:u w:val="single"/>
            <w:rtl w:val="0"/>
          </w:rPr>
          <w:t xml:space="preserve">Lundberg et al., 2020</w:t>
        </w:r>
      </w:hyperlink>
      <w:r w:rsidDel="00000000" w:rsidR="00000000" w:rsidRPr="00000000">
        <w:rPr>
          <w:rtl w:val="0"/>
        </w:rPr>
        <w:t xml:space="preserve">), feeding raw TotalCharges, tenure, and MonthlyCharges (VIF = 9.53–14.85) splits attribution credit across redundant predictors and produces unrealistic off-manifold feature combinations. Our Step 2 orthogonalization resolves this cleanly: Contract_Tenure_Stability_Index captures 24.81% of global explainability (0.542 logits), while Billing_Overage_Residual (VIF = 1.08) isolates pure rate hikes above quoted monthly charges (0.084 logits).</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Challenge C6.2 (Mechanistic Explanation of the Step 5 Senior Citizen Disparity):</w:t>
      </w:r>
      <w:r w:rsidDel="00000000" w:rsidR="00000000" w:rsidRPr="00000000">
        <w:rPr>
          <w:rtl w:val="0"/>
        </w:rPr>
        <w:t xml:space="preserve"> TreeSHAP reveals that the direct attribution of SeniorCitizen is only 0.049 logits (2.24% of total model explainability), whereas 82% of the elevated predicted risk among Senior Citizens originates from modifiable service and billing features—specifically High_Risk_Fiber_ElecCheck_Flag (0.318 logits) and low Protection_to_Streaming_Ratio (0.226 logits). This explains why dropping SeniorCitizen in Step 5 (Regime R3) failed to remove disparity and demonstrates that senior churn is best addressed by migrating seniors to Auto-Pay and bundling technical support.</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Challenge C6.3 (Aligning Local Explanations with Asymmetric EMPC &amp; Equal Opportunity Cutoffs):</w:t>
      </w:r>
      <w:r w:rsidDel="00000000" w:rsidR="00000000" w:rsidRPr="00000000">
        <w:rPr>
          <w:rtl w:val="0"/>
        </w:rPr>
        <w:t xml:space="preserve"> Standard SHAP waterfall plots anchor visual decisions at p = 0.50 (0.0000 logits), which misleads CRM analysts into ignoring profitable mid-tenure churners like Archetype #2 (p_hat = 0.2530, f(x_i) = -1.083 logits). Mapping the Step 4 EMPC threshold (-1.6273 logits) and Step 5 Equal Opportunity thresholds (-1.2774 and -1.6883 logits) directly onto the log-odds waterfall axis unifies explainability, profit optimization, and fairness governance.</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End-to-End Scientific Conclusions</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Data Hygiene &amp; Orthogonal Representation (Steps 1–2):</w:t>
      </w:r>
      <w:r w:rsidDel="00000000" w:rsidR="00000000" w:rsidRPr="00000000">
        <w:rPr>
          <w:rFonts w:ascii="Arial Unicode MS" w:cs="Arial Unicode MS" w:eastAsia="Arial Unicode MS" w:hAnsi="Arial Unicode MS"/>
          <w:rtl w:val="0"/>
        </w:rPr>
        <w:t xml:space="preserve"> Deterministic zero-imputation of the 11 tenure == 0 onboarding accounts and VIF orthogonalization (VIF ≤ 2.34) eliminate survival bias, prevent dummy-variable singularity, and lift linear baseline accuracy from 73.2% to 80.2%.</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Leakage-Free Imbalance Mitigation &amp; Calibration (Step 3):</w:t>
      </w:r>
      <w:r w:rsidDel="00000000" w:rsidR="00000000" w:rsidRPr="00000000">
        <w:rPr>
          <w:rtl w:val="0"/>
        </w:rPr>
        <w:t xml:space="preserve"> Restricting SMOTE-ENN and Cost-Sensitive weighting strictly to the training split (</w:t>
      </w:r>
      <w:r w:rsidDel="00000000" w:rsidR="00000000" w:rsidRPr="00000000">
        <w:rPr>
          <w:i w:val="1"/>
          <w:iCs w:val="1"/>
          <w:rtl w:val="0"/>
        </w:rPr>
        <w:t xml:space="preserve">n</w:t>
      </w:r>
      <w:r w:rsidDel="00000000" w:rsidR="00000000" w:rsidRPr="00000000">
        <w:rPr>
          <w:vertAlign w:val="subscript"/>
          <w:rtl w:val="0"/>
        </w:rPr>
        <w:t xml:space="preserve">train</w:t>
      </w:r>
      <w:r w:rsidDel="00000000" w:rsidR="00000000" w:rsidRPr="00000000">
        <w:rPr>
          <w:rtl w:val="0"/>
        </w:rPr>
        <w:t xml:space="preserve"> = 5,634) prevents the artificial test-set inflation seen in flawed pipelines while lifting minority churn recall on </w:t>
      </w:r>
      <w:r w:rsidDel="00000000" w:rsidR="00000000" w:rsidRPr="00000000">
        <w:rPr>
          <w:i w:val="1"/>
          <w:iCs w:val="1"/>
          <w:rtl w:val="0"/>
        </w:rPr>
        <w:t xml:space="preserve">n</w:t>
      </w:r>
      <w:r w:rsidDel="00000000" w:rsidR="00000000" w:rsidRPr="00000000">
        <w:rPr>
          <w:vertAlign w:val="subscript"/>
          <w:rtl w:val="0"/>
        </w:rPr>
        <w:t xml:space="preserve">test</w:t>
      </w:r>
      <w:r w:rsidDel="00000000" w:rsidR="00000000" w:rsidRPr="00000000">
        <w:rPr>
          <w:rtl w:val="0"/>
        </w:rPr>
        <w:t xml:space="preserve"> = 1,409 from 54.8% to 79.4%–85.6%, with </w:t>
      </w:r>
      <w:r w:rsidDel="00000000" w:rsidR="00000000" w:rsidRPr="00000000">
        <w:rPr>
          <w:b w:val="1"/>
          <w:bCs w:val="1"/>
          <w:rtl w:val="0"/>
        </w:rPr>
        <w:t xml:space="preserve">CatBoost</w:t>
      </w:r>
      <w:r w:rsidDel="00000000" w:rsidR="00000000" w:rsidRPr="00000000">
        <w:rPr>
          <w:rtl w:val="0"/>
        </w:rPr>
        <w:t xml:space="preserve"> achieving the best overall ROC-AUC (0.856) and calibrated Brier score (0.132).</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Decision Economics &amp; EMPC Thresholding (Step 4):</w:t>
      </w:r>
      <w:r w:rsidDel="00000000" w:rsidR="00000000" w:rsidRPr="00000000">
        <w:rPr>
          <w:rtl w:val="0"/>
        </w:rPr>
        <w:t xml:space="preserve"> Under the canonical Verbraken/Höppner telecom parameters (b_TP = $56, c_FP = $11 at E[γ] = 0.30), shifting calibrated CatBoost to the Bayes-optimal threshold t_opt = 0.1642 captures 88.8% of all test churners (332 of 374) and increases simulated retention profit by </w:t>
      </w:r>
      <w:r w:rsidDel="00000000" w:rsidR="00000000" w:rsidRPr="00000000">
        <w:rPr>
          <w:b w:val="1"/>
          <w:bCs w:val="1"/>
          <w:rtl w:val="0"/>
        </w:rPr>
        <w:t xml:space="preserve">+43.3%</w:t>
      </w:r>
      <w:r w:rsidDel="00000000" w:rsidR="00000000" w:rsidRPr="00000000">
        <w:rPr>
          <w:rtl w:val="0"/>
        </w:rPr>
        <w:t xml:space="preserve"> ($14,841 vs. $10,358 at t = 0.50).</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Demographic Fairness &amp; Post-Hoc Equal Opportunity (Step 5):</w:t>
      </w:r>
      <w:r w:rsidDel="00000000" w:rsidR="00000000" w:rsidRPr="00000000">
        <w:rPr>
          <w:rtl w:val="0"/>
        </w:rPr>
        <w:t xml:space="preserve"> While gender satisfies all fairness criteria naturally (DIR = 0.9788, EOD = -0.12 pp), the 1.765× higher base churn rate of Senior Citizens induces a 22.48 pp Equal Opportunity gap at t = 0.50. Shifting to t_opt = 0.1642 shrinks this gap by 70.7% (to 6.59 pp), and group-calibrated Equal Opportunity thresholds (t_sen = 0.2180, t_nonsen = 0.1560) achieve exact recall parity (EOD = -0.11 pp) at a negligible profit cost of $23 (0.15%).</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Actionable SHAP Prescriptions (Step 6):</w:t>
      </w:r>
      <w:r w:rsidDel="00000000" w:rsidR="00000000" w:rsidRPr="00000000">
        <w:rPr>
          <w:rtl w:val="0"/>
        </w:rPr>
        <w:t xml:space="preserve"> TreeSHAP attributions bridge prediction and intervention by mapping each targeted subscriber's dominant log-odds drivers directly to tailored retention actions (contract lock-in incentives, Auto-Pay migration credits, complimentary security/tech-support trials, or bill-shock adjustments).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7"/>
        <w:sz w:val="22"/>
        <w:szCs w:val="22"/>
      </w:rPr>
    </w:rPrDefault>
    <w:pPrDefault>
      <w:pPr>
        <w:widowControl w:val="0"/>
        <w:spacing w:line="371.999988555908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80" w:before="240" w:lineRule="auto"/>
    </w:pPr>
    <w:rPr>
      <w:b w:val="1"/>
      <w:bCs w:val="1"/>
      <w:i w:val="0"/>
      <w:iCs w:val="0"/>
      <w:color w:val="111827"/>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320" w:lineRule="auto"/>
    </w:pPr>
    <w:rPr>
      <w:b w:val="1"/>
      <w:bCs w:val="1"/>
      <w:i w:val="0"/>
      <w:iCs w:val="0"/>
      <w:color w:val="1e3a8a"/>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0f172a"/>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lab.research.google.com/drive/12bdkAkhc2HND_YRZ4AG4gS5GBJuoWpXp?ouid=118200887470037407082" TargetMode="External"/><Relationship Id="rId22" Type="http://schemas.openxmlformats.org/officeDocument/2006/relationships/hyperlink" Target="https://docs.google.com/spreadsheets/d/1O2fVB3jhFS6PDUsCTHWBA0xofPdz7qGEoaf4i7Ox4H0/edit?usp=drivesdk&amp;ouid=118200887470037407082" TargetMode="External"/><Relationship Id="rId21" Type="http://schemas.openxmlformats.org/officeDocument/2006/relationships/hyperlink" Target="https://drive.google.com/drive/folders/1HCHLSVWFjPYjGSlekJp6pMXTcjnrY3Cz" TargetMode="External"/><Relationship Id="rId24" Type="http://schemas.openxmlformats.org/officeDocument/2006/relationships/hyperlink" Target="https://docs.google.com/spreadsheets/d/1ATPZsJ7T-TImNr1mQaTSDBkOwR-NEKjrJNOSPQ_RtjU/edit?usp=drivesdk&amp;ouid=118200887470037407082" TargetMode="External"/><Relationship Id="rId23" Type="http://schemas.openxmlformats.org/officeDocument/2006/relationships/hyperlink" Target="https://docs.google.com/spreadsheets/d/1GjIP3YVl_MZsX3c0GwtYmWLz5tk_cgHn4UiCMN2ZH5s/edit?usp=drivesdk&amp;ouid=11820088747003740708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2504-4990/7/3/105" TargetMode="External"/><Relationship Id="rId26" Type="http://schemas.openxmlformats.org/officeDocument/2006/relationships/hyperlink" Target="https://docs.google.com/spreadsheets/d/1WgRdg04HDs17Dejz1D16pS1Du-kC91CyG0g-OGDSYBE/edit?usp=drivesdk&amp;ouid=118200887470037407082" TargetMode="External"/><Relationship Id="rId25" Type="http://schemas.openxmlformats.org/officeDocument/2006/relationships/hyperlink" Target="https://docs.google.com/spreadsheets/d/1-zmJO4eMpJanOG-FcM7nSBhJIWWSLBLniwdoVQyZxLE/edit?usp=drivesdk&amp;ouid=118200887470037407082" TargetMode="External"/><Relationship Id="rId28" Type="http://schemas.openxmlformats.org/officeDocument/2006/relationships/hyperlink" Target="https://arxiv.org/pdf/1712.08101" TargetMode="External"/><Relationship Id="rId27" Type="http://schemas.openxmlformats.org/officeDocument/2006/relationships/hyperlink" Target="https://docs.google.com/spreadsheets/d/19AfzUzDP7CCfydqN9_tsoUB5HdlXPUDvhKbfoghR910/edit?usp=drivesdk&amp;ouid=118200887470037407082" TargetMode="External"/><Relationship Id="rId5" Type="http://schemas.openxmlformats.org/officeDocument/2006/relationships/styles" Target="styles.xml"/><Relationship Id="rId6" Type="http://schemas.openxmlformats.org/officeDocument/2006/relationships/hyperlink" Target="https://drive.google.com/drive/folders/1Ezm-WHotbmqcDGBjJlD4k5rz5ER4lMMW" TargetMode="External"/><Relationship Id="rId29" Type="http://schemas.openxmlformats.org/officeDocument/2006/relationships/hyperlink" Target="https://arxiv.org/abs/1703.00056" TargetMode="External"/><Relationship Id="rId7" Type="http://schemas.openxmlformats.org/officeDocument/2006/relationships/hyperlink" Target="https://docs.google.com/spreadsheets/d/16IVOPtZksmNyBQ-y0fIAF9P9rCXT8ztZ7p09_je1DJo/edit?usp=drivesdk&amp;ouid=118200887470037407082" TargetMode="External"/><Relationship Id="rId8" Type="http://schemas.openxmlformats.org/officeDocument/2006/relationships/hyperlink" Target="https://arxiv.org/html/2509.22654v1" TargetMode="External"/><Relationship Id="rId31" Type="http://schemas.openxmlformats.org/officeDocument/2006/relationships/hyperlink" Target="https://arxiv.org/abs/1705.07874" TargetMode="External"/><Relationship Id="rId30" Type="http://schemas.openxmlformats.org/officeDocument/2006/relationships/hyperlink" Target="https://arxiv.org/abs/1610.02413" TargetMode="External"/><Relationship Id="rId11" Type="http://schemas.openxmlformats.org/officeDocument/2006/relationships/hyperlink" Target="https://drive.google.com/drive/folders/1Ezm-WHotbmqcDGBjJlD4k5rz5ER4lMMW" TargetMode="External"/><Relationship Id="rId33" Type="http://schemas.openxmlformats.org/officeDocument/2006/relationships/hyperlink" Target="https://docs.google.com/spreadsheets/d/19AfzUzDP7CCfydqN9_tsoUB5HdlXPUDvhKbfoghR910/edit?usp=drivesdk&amp;ouid=118200887470037407082" TargetMode="External"/><Relationship Id="rId10" Type="http://schemas.openxmlformats.org/officeDocument/2006/relationships/hyperlink" Target="https://arxiv.org/pdf/1712.08101" TargetMode="External"/><Relationship Id="rId32" Type="http://schemas.openxmlformats.org/officeDocument/2006/relationships/hyperlink" Target="https://pmc.ncbi.nlm.nih.gov/articles/PMC7326367/" TargetMode="External"/><Relationship Id="rId13" Type="http://schemas.openxmlformats.org/officeDocument/2006/relationships/hyperlink" Target="https://docs.google.com/spreadsheets/d/1xMIuDXa3p7ezY09A8W4h8QF9CdkpIF_vDX7-wYER1mE/edit?usp=drivesdk&amp;ouid=118200887470037407082" TargetMode="External"/><Relationship Id="rId35" Type="http://schemas.openxmlformats.org/officeDocument/2006/relationships/hyperlink" Target="https://pmc.ncbi.nlm.nih.gov/articles/PMC7326367/" TargetMode="External"/><Relationship Id="rId12" Type="http://schemas.openxmlformats.org/officeDocument/2006/relationships/hyperlink" Target="https://drive.google.com/drive/folders/1HW1sO3_R31ULPSl2pUz8y4lFJz-3VKjZ" TargetMode="External"/><Relationship Id="rId34" Type="http://schemas.openxmlformats.org/officeDocument/2006/relationships/hyperlink" Target="https://arxiv.org/html/2509.22654v1" TargetMode="External"/><Relationship Id="rId15" Type="http://schemas.openxmlformats.org/officeDocument/2006/relationships/hyperlink" Target="https://colab.research.google.com/drive/1v9w5HjaoseUO7UlVuK_HetcQj4GaEuc3?ouid=118200887470037407082" TargetMode="External"/><Relationship Id="rId14" Type="http://schemas.openxmlformats.org/officeDocument/2006/relationships/hyperlink" Target="https://drive.google.com/drive/folders/1uzXRD7b_tvKJl_K2bN5NmURB5WHhee0x" TargetMode="External"/><Relationship Id="rId17" Type="http://schemas.openxmlformats.org/officeDocument/2006/relationships/hyperlink" Target="https://colab.research.google.com/drive/12YjYLrPViAZwDMg44uovqjXd4a4ayYFt?ouid=118200887470037407082" TargetMode="External"/><Relationship Id="rId16" Type="http://schemas.openxmlformats.org/officeDocument/2006/relationships/hyperlink" Target="https://colab.research.google.com/drive/1JD00XqCQkD-ZaGziI44stMPxf_KH2CGP?ouid=118200887470037407082" TargetMode="External"/><Relationship Id="rId19" Type="http://schemas.openxmlformats.org/officeDocument/2006/relationships/hyperlink" Target="https://colab.research.google.com/drive/1Ja90qgbW-K2isVr8r4lBQZrp75-ADcNX?ouid=118200887470037407082" TargetMode="External"/><Relationship Id="rId18" Type="http://schemas.openxmlformats.org/officeDocument/2006/relationships/hyperlink" Target="https://colab.research.google.com/drive/1SayrTpcngJ-rSGE2fSsCdYcHI-gQxudN?ouid=1182008874700374070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