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Profit-Driven Telecommunications Customer Churn Prediction with Demographic Fairness Auditing and Post-Hoc Explainable AI: A Step-by-Step Scientific Investigation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Synthesis and Literature Grounding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sz w:val="20"/>
          <w:szCs w:val="20"/>
        </w:rPr>
      </w:pPr>
      <w:r w:rsidDel="00000000" w:rsidR="00000000" w:rsidRPr="00000000">
        <w:pict>
          <v:rect style="width:0.0pt;height:1.5pt" o:hr="t" o:hrstd="t" o:hralign="center" fillcolor="#A0A0A0" stroked="f"/>
        </w:pict>
      </w:r>
      <w:r w:rsidDel="00000000" w:rsidR="00000000" w:rsidRPr="00000000">
        <w:rPr>
          <w:sz w:val="20"/>
          <w:szCs w:val="20"/>
          <w:rtl w:val="0"/>
        </w:rPr>
        <w:t xml:space="preserve">Customer attrition in the telecommunications sector represents a high-stakes operational and economic challenge, as empirical customer relationship management (CRM) studies establish that acquiring a replacement subscriber costs between five and twenty-five times more than retaining an existing account (</w:t>
      </w:r>
      <w:hyperlink r:id="rId6">
        <w:r w:rsidDel="00000000" w:rsidR="00000000" w:rsidRPr="00000000">
          <w:rPr>
            <w:color w:val="0284c7"/>
            <w:sz w:val="20"/>
            <w:szCs w:val="20"/>
            <w:u w:val="single"/>
            <w:rtl w:val="0"/>
          </w:rPr>
          <w:t xml:space="preserve">Chen et al., 2025</w:t>
        </w:r>
      </w:hyperlink>
      <w:r w:rsidDel="00000000" w:rsidR="00000000" w:rsidRPr="00000000">
        <w:rPr>
          <w:sz w:val="20"/>
          <w:szCs w:val="20"/>
          <w:rtl w:val="0"/>
        </w:rPr>
        <w:t xml:space="preserve">; </w:t>
      </w:r>
      <w:hyperlink r:id="rId7">
        <w:r w:rsidDel="00000000" w:rsidR="00000000" w:rsidRPr="00000000">
          <w:rPr>
            <w:color w:val="0284c7"/>
            <w:sz w:val="20"/>
            <w:szCs w:val="20"/>
            <w:u w:val="single"/>
            <w:rtl w:val="0"/>
          </w:rPr>
          <w:t xml:space="preserve">Imani et al., 2025</w:t>
        </w:r>
      </w:hyperlink>
      <w:r w:rsidDel="00000000" w:rsidR="00000000" w:rsidRPr="00000000">
        <w:rPr>
          <w:sz w:val="20"/>
          <w:szCs w:val="20"/>
          <w:rtl w:val="0"/>
        </w:rPr>
        <w:t xml:space="preserve">). While machine learning and deep learning classifiers have been widely applied to the benchmark </w:t>
      </w:r>
      <w:hyperlink r:id="rId8">
        <w:r w:rsidDel="00000000" w:rsidR="00000000" w:rsidRPr="00000000">
          <w:rPr>
            <w:color w:val="0284c7"/>
            <w:sz w:val="20"/>
            <w:szCs w:val="20"/>
            <w:u w:val="single"/>
            <w:rtl w:val="0"/>
          </w:rPr>
          <w:t xml:space="preserve">IBM Telco Customer Churn dataset</w:t>
        </w:r>
      </w:hyperlink>
      <w:r w:rsidDel="00000000" w:rsidR="00000000" w:rsidRPr="00000000">
        <w:rPr>
          <w:sz w:val="20"/>
          <w:szCs w:val="20"/>
          <w:rtl w:val="0"/>
        </w:rPr>
        <w:t xml:space="preserve"> (hosted on open access via the </w:t>
      </w:r>
      <w:hyperlink r:id="rId9">
        <w:r w:rsidDel="00000000" w:rsidR="00000000" w:rsidRPr="00000000">
          <w:rPr>
            <w:color w:val="0284c7"/>
            <w:sz w:val="20"/>
            <w:szCs w:val="20"/>
            <w:u w:val="single"/>
            <w:rtl w:val="0"/>
          </w:rPr>
          <w:t xml:space="preserve">IBM Cloud Pak for Data Repository</w:t>
        </w:r>
      </w:hyperlink>
      <w:r w:rsidDel="00000000" w:rsidR="00000000" w:rsidRPr="00000000">
        <w:rPr>
          <w:sz w:val="20"/>
          <w:szCs w:val="20"/>
          <w:rtl w:val="0"/>
        </w:rPr>
        <w:t xml:space="preserve">), a PRISMA-guided systematic synthesis of 240 peer-reviewed churn studies published between 2020 and 2024 by </w:t>
      </w:r>
      <w:hyperlink r:id="rId10">
        <w:r w:rsidDel="00000000" w:rsidR="00000000" w:rsidRPr="00000000">
          <w:rPr>
            <w:color w:val="0284c7"/>
            <w:sz w:val="20"/>
            <w:szCs w:val="20"/>
            <w:u w:val="single"/>
            <w:rtl w:val="0"/>
          </w:rPr>
          <w:t xml:space="preserve">Imani et al. (2025)</w:t>
        </w:r>
      </w:hyperlink>
      <w:r w:rsidDel="00000000" w:rsidR="00000000" w:rsidRPr="00000000">
        <w:rPr>
          <w:sz w:val="20"/>
          <w:szCs w:val="20"/>
          <w:rtl w:val="0"/>
        </w:rPr>
        <w:t xml:space="preserve"> demonstrates that existing literature suffers from four foundational flaws that prevent reliable production deployment:</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z w:val="20"/>
          <w:szCs w:val="20"/>
          <w:rtl w:val="0"/>
        </w:rPr>
        <w:t xml:space="preserve">Over-Reliance on Cost-Blind Statistical Thresholds</w:t>
      </w:r>
      <w:r w:rsidDel="00000000" w:rsidR="00000000" w:rsidRPr="00000000">
        <w:rPr>
          <w:sz w:val="20"/>
          <w:szCs w:val="20"/>
          <w:rtl w:val="0"/>
        </w:rPr>
        <w:t xml:space="preserve">: Nearly all published studies evaluate classifiers at a rigid 0.50 posterior probability threshold using symmetric statistical metrics (Accuracy, standard F1-score, or ROC-AUC), ignoring the asymmetric financial cost of false-positive retention incentives versus false-negative lost customer lifetime value (CLV) captured by the Expected Maximum Profit for Customer Churn (EMPC) framework (</w:t>
      </w:r>
      <w:hyperlink r:id="rId11">
        <w:r w:rsidDel="00000000" w:rsidR="00000000" w:rsidRPr="00000000">
          <w:rPr>
            <w:color w:val="0284c7"/>
            <w:sz w:val="20"/>
            <w:szCs w:val="20"/>
            <w:u w:val="single"/>
            <w:rtl w:val="0"/>
          </w:rPr>
          <w:t xml:space="preserve">Imani et al., 2025</w:t>
        </w:r>
      </w:hyperlink>
      <w:r w:rsidDel="00000000" w:rsidR="00000000" w:rsidRPr="00000000">
        <w:rPr>
          <w:sz w:val="20"/>
          <w:szCs w:val="20"/>
          <w:rtl w:val="0"/>
        </w:rPr>
        <w:t xml:space="preserv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z w:val="20"/>
          <w:szCs w:val="20"/>
          <w:rtl w:val="0"/>
        </w:rPr>
        <w:t xml:space="preserve">Preprocessing Data Leakage and Imputation Distortion</w:t>
      </w:r>
      <w:r w:rsidDel="00000000" w:rsidR="00000000" w:rsidRPr="00000000">
        <w:rPr>
          <w:sz w:val="20"/>
          <w:szCs w:val="20"/>
          <w:rtl w:val="0"/>
        </w:rPr>
        <w:t xml:space="preserve">: Numerous benchmark pipelines apply synthetic oversampling (SMOTE) or feature scaling across the full 7,043-record table prior to train-test partitioning, or drop/median-impute the 11 non-numeric TotalCharges records without diagnosing their underlying billing mechanism (</w:t>
      </w:r>
      <w:hyperlink r:id="rId12">
        <w:r w:rsidDel="00000000" w:rsidR="00000000" w:rsidRPr="00000000">
          <w:rPr>
            <w:color w:val="0284c7"/>
            <w:sz w:val="20"/>
            <w:szCs w:val="20"/>
            <w:u w:val="single"/>
            <w:rtl w:val="0"/>
          </w:rPr>
          <w:t xml:space="preserve">Research Gaps Tracker</w:t>
        </w:r>
      </w:hyperlink>
      <w:r w:rsidDel="00000000" w:rsidR="00000000" w:rsidRPr="00000000">
        <w:rPr>
          <w:sz w:val="20"/>
          <w:szCs w:val="20"/>
          <w:rtl w:val="0"/>
        </w:rPr>
        <w:t xml:space="preserve">; </w:t>
      </w:r>
      <w:hyperlink r:id="rId13">
        <w:r w:rsidDel="00000000" w:rsidR="00000000" w:rsidRPr="00000000">
          <w:rPr>
            <w:color w:val="0284c7"/>
            <w:sz w:val="20"/>
            <w:szCs w:val="20"/>
            <w:u w:val="single"/>
            <w:rtl w:val="0"/>
          </w:rPr>
          <w:t xml:space="preserve">Methodologically Rigorous Audit Sheet</w:t>
        </w:r>
      </w:hyperlink>
      <w:r w:rsidDel="00000000" w:rsidR="00000000" w:rsidRPr="00000000">
        <w:rPr>
          <w:sz w:val="20"/>
          <w:szCs w:val="20"/>
          <w:rtl w:val="0"/>
        </w:rPr>
        <w:t xml:space="preser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z w:val="20"/>
          <w:szCs w:val="20"/>
          <w:rtl w:val="0"/>
        </w:rPr>
        <w:t xml:space="preserve">Omission of Algorithmic Fairness and Demographic Bias Auditing</w:t>
      </w:r>
      <w:r w:rsidDel="00000000" w:rsidR="00000000" w:rsidRPr="00000000">
        <w:rPr>
          <w:sz w:val="20"/>
          <w:szCs w:val="20"/>
          <w:rtl w:val="0"/>
        </w:rPr>
        <w:t xml:space="preserve">: Section 8.3 of </w:t>
      </w:r>
      <w:hyperlink r:id="rId14">
        <w:r w:rsidDel="00000000" w:rsidR="00000000" w:rsidRPr="00000000">
          <w:rPr>
            <w:color w:val="0284c7"/>
            <w:sz w:val="20"/>
            <w:szCs w:val="20"/>
            <w:u w:val="single"/>
            <w:rtl w:val="0"/>
          </w:rPr>
          <w:t xml:space="preserve">Imani et al. (2025)</w:t>
        </w:r>
      </w:hyperlink>
      <w:r w:rsidDel="00000000" w:rsidR="00000000" w:rsidRPr="00000000">
        <w:rPr>
          <w:sz w:val="20"/>
          <w:szCs w:val="20"/>
          <w:rtl w:val="0"/>
        </w:rPr>
        <w:t xml:space="preserve"> explicitly identifies the near-total absence of demographic fairness auditing across protected customer subgroups (such as SeniorCitizen and gender), creating severe risk of discriminatory retention targeting or exclusionary pricing.</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z w:val="20"/>
          <w:szCs w:val="20"/>
          <w:rtl w:val="0"/>
        </w:rPr>
        <w:t xml:space="preserve">Black-Box Opacity in Retention Triage</w:t>
      </w:r>
      <w:r w:rsidDel="00000000" w:rsidR="00000000" w:rsidRPr="00000000">
        <w:rPr>
          <w:sz w:val="20"/>
          <w:szCs w:val="20"/>
          <w:rtl w:val="0"/>
        </w:rPr>
        <w:t xml:space="preserve">: High-capacity gradient boosted trees and deep neural networks output uncalibrated risk scores without customer-level feature attributions, preventing retention teams from distinguishing whether a subscriber is leaving due to price shock, lack of technical support, or contract expiration (</w:t>
      </w:r>
      <w:hyperlink r:id="rId15">
        <w:r w:rsidDel="00000000" w:rsidR="00000000" w:rsidRPr="00000000">
          <w:rPr>
            <w:color w:val="0284c7"/>
            <w:sz w:val="20"/>
            <w:szCs w:val="20"/>
            <w:u w:val="single"/>
            <w:rtl w:val="0"/>
          </w:rPr>
          <w:t xml:space="preserve">Chen et al., 2025</w:t>
        </w:r>
      </w:hyperlink>
      <w:r w:rsidDel="00000000" w:rsidR="00000000" w:rsidRPr="00000000">
        <w:rPr>
          <w:sz w:val="20"/>
          <w:szCs w:val="20"/>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60" w:lineRule="auto"/>
        <w:rPr>
          <w:sz w:val="20"/>
          <w:szCs w:val="20"/>
        </w:rPr>
      </w:pPr>
      <w:r w:rsidDel="00000000" w:rsidR="00000000" w:rsidRPr="00000000">
        <w:rPr>
          <w:sz w:val="20"/>
          <w:szCs w:val="20"/>
          <w:rtl w:val="0"/>
        </w:rPr>
        <w:t xml:space="preserve">This living scientific report documents the step-by-step experimental execution of </w:t>
      </w:r>
      <w:r w:rsidDel="00000000" w:rsidR="00000000" w:rsidRPr="00000000">
        <w:rPr>
          <w:b w:val="1"/>
          <w:bCs w:val="1"/>
          <w:sz w:val="20"/>
          <w:szCs w:val="20"/>
          <w:rtl w:val="0"/>
        </w:rPr>
        <w:t xml:space="preserve">Project #1</w:t>
      </w:r>
      <w:r w:rsidDel="00000000" w:rsidR="00000000" w:rsidRPr="00000000">
        <w:rPr>
          <w:sz w:val="20"/>
          <w:szCs w:val="20"/>
          <w:rtl w:val="0"/>
        </w:rPr>
        <w:t xml:space="preserve"> (combining Row 10 and Row 21 of the </w:t>
      </w:r>
      <w:hyperlink r:id="rId16">
        <w:r w:rsidDel="00000000" w:rsidR="00000000" w:rsidRPr="00000000">
          <w:rPr>
            <w:color w:val="0284c7"/>
            <w:sz w:val="20"/>
            <w:szCs w:val="20"/>
            <w:u w:val="single"/>
            <w:rtl w:val="0"/>
          </w:rPr>
          <w:t xml:space="preserve">Research_Papers_And_Projects — Research Gaps tracker</w:t>
        </w:r>
      </w:hyperlink>
      <w:r w:rsidDel="00000000" w:rsidR="00000000" w:rsidRPr="00000000">
        <w:rPr>
          <w:sz w:val="20"/>
          <w:szCs w:val="20"/>
          <w:rtl w:val="0"/>
        </w:rPr>
        <w:t xml:space="preserve">). All project assets are organized inside the dedicated Google Drive workspace </w:t>
      </w:r>
      <w:hyperlink r:id="rId17">
        <w:r w:rsidDel="00000000" w:rsidR="00000000" w:rsidRPr="00000000">
          <w:rPr>
            <w:color w:val="0284c7"/>
            <w:sz w:val="20"/>
            <w:szCs w:val="20"/>
            <w:u w:val="single"/>
            <w:rtl w:val="0"/>
          </w:rPr>
          <w:t xml:space="preserve">Project1_Telecom_Churn_EMPC_Fairness_XAI</w:t>
        </w:r>
      </w:hyperlink>
      <w:r w:rsidDel="00000000" w:rsidR="00000000" w:rsidRPr="00000000">
        <w:rPr>
          <w:sz w:val="20"/>
          <w:szCs w:val="20"/>
          <w:rtl w:val="0"/>
        </w:rPr>
        <w:t xml:space="preserv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60" w:before="0" w:lineRule="auto"/>
        <w:rPr/>
      </w:pPr>
      <w:r w:rsidDel="00000000" w:rsidR="00000000" w:rsidRPr="00000000">
        <w:rPr>
          <w:rtl w:val="0"/>
        </w:rPr>
        <w:t xml:space="preserve">Experimental Architecture and Six-Step Scientific Protocol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4a3b8" w:space="0" w:sz="6" w:val="single"/>
              <w:left w:color="94a3b8" w:space="0" w:sz="6" w:val="single"/>
              <w:bottom w:color="94a3b8" w:space="0" w:sz="6" w:val="single"/>
              <w:right w:color="94a3b8" w:space="0" w:sz="6" w:val="single"/>
            </w:tcBorders>
            <w:shd w:fill="1e3a8a" w:val="clear"/>
            <w:tcMar>
              <w:top w:w="120.0" w:type="dxa"/>
              <w:left w:w="160.0" w:type="dxa"/>
              <w:bottom w:w="120.0" w:type="dxa"/>
              <w:right w:w="16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Experimental Step</w:t>
            </w:r>
          </w:p>
        </w:tc>
        <w:tc>
          <w:tcPr>
            <w:tcBorders>
              <w:top w:color="94a3b8" w:space="0" w:sz="6" w:val="single"/>
              <w:left w:color="94a3b8" w:space="0" w:sz="6" w:val="single"/>
              <w:bottom w:color="94a3b8" w:space="0" w:sz="6" w:val="single"/>
              <w:right w:color="94a3b8" w:space="0" w:sz="6" w:val="single"/>
            </w:tcBorders>
            <w:shd w:fill="1e3a8a" w:val="clear"/>
            <w:tcMar>
              <w:top w:w="120.0" w:type="dxa"/>
              <w:left w:w="160.0" w:type="dxa"/>
              <w:bottom w:w="120.0" w:type="dxa"/>
              <w:right w:w="16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Phase Title and Scientific Objective</w:t>
            </w:r>
          </w:p>
        </w:tc>
        <w:tc>
          <w:tcPr>
            <w:tcBorders>
              <w:top w:color="94a3b8" w:space="0" w:sz="6" w:val="single"/>
              <w:left w:color="94a3b8" w:space="0" w:sz="6" w:val="single"/>
              <w:bottom w:color="94a3b8" w:space="0" w:sz="6" w:val="single"/>
              <w:right w:color="94a3b8" w:space="0" w:sz="6" w:val="single"/>
            </w:tcBorders>
            <w:shd w:fill="1e3a8a" w:val="clear"/>
            <w:tcMar>
              <w:top w:w="120.0" w:type="dxa"/>
              <w:left w:w="160.0" w:type="dxa"/>
              <w:bottom w:w="120.0" w:type="dxa"/>
              <w:right w:w="16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Key Quantitative Deliverables</w:t>
            </w:r>
          </w:p>
        </w:tc>
        <w:tc>
          <w:tcPr>
            <w:tcBorders>
              <w:top w:color="94a3b8" w:space="0" w:sz="6" w:val="single"/>
              <w:left w:color="94a3b8" w:space="0" w:sz="6" w:val="single"/>
              <w:bottom w:color="94a3b8" w:space="0" w:sz="6" w:val="single"/>
              <w:right w:color="94a3b8" w:space="0" w:sz="6" w:val="single"/>
            </w:tcBorders>
            <w:shd w:fill="1e3a8a" w:val="clear"/>
            <w:tcMar>
              <w:top w:w="120.0" w:type="dxa"/>
              <w:left w:w="160.0" w:type="dxa"/>
              <w:bottom w:w="120.0" w:type="dxa"/>
              <w:right w:w="16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Execution Status</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Step 1</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Problem Formulation, Data Hygiene Audit &amp; Exploratory Statistical Analysis</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Schema verification (N = 7,043, d = 21), exact resolution of the 11 TotalCharges whitespace anomalies, diagnosis of Simpson's Paradox and structural collinearity, 36-cohort risk stratification, and fairness baseline (</w:t>
            </w:r>
            <w:hyperlink r:id="rId18">
              <w:r w:rsidDel="00000000" w:rsidR="00000000" w:rsidRPr="00000000">
                <w:rPr>
                  <w:color w:val="0284c7"/>
                  <w:sz w:val="18"/>
                  <w:szCs w:val="18"/>
                  <w:u w:val="single"/>
                  <w:vertAlign w:val="baseline"/>
                  <w:rtl w:val="0"/>
                </w:rPr>
                <w:t xml:space="preserve">Step 1 Colab Notebook</w:t>
              </w:r>
            </w:hyperlink>
            <w:r w:rsidDel="00000000" w:rsidR="00000000" w:rsidRPr="00000000">
              <w:rPr>
                <w:sz w:val="18"/>
                <w:szCs w:val="18"/>
                <w:vertAlign w:val="baseline"/>
                <w:rtl w:val="0"/>
              </w:rPr>
              <w:t xml:space="preserve">, </w:t>
            </w:r>
            <w:hyperlink r:id="rId19">
              <w:r w:rsidDel="00000000" w:rsidR="00000000" w:rsidRPr="00000000">
                <w:rPr>
                  <w:color w:val="0284c7"/>
                  <w:sz w:val="18"/>
                  <w:szCs w:val="18"/>
                  <w:u w:val="single"/>
                  <w:vertAlign w:val="baseline"/>
                  <w:rtl w:val="0"/>
                </w:rPr>
                <w:t xml:space="preserve">Step 1 EDA Dashboard PNG</w:t>
              </w:r>
            </w:hyperlink>
            <w:r w:rsidDel="00000000" w:rsidR="00000000" w:rsidRPr="00000000">
              <w:rPr>
                <w:sz w:val="18"/>
                <w:szCs w:val="18"/>
                <w:vertAlign w:val="baseline"/>
                <w:rtl w:val="0"/>
              </w:rPr>
              <w:t xml:space="preserve">).</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COMPLETED</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Step 2</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Domain Feature Engineering &amp; Leakage-Free Preprocessing Pipeline</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Strict 80/20 stratified train-test split (n_train = 5,634, n_test = 1,409) prior to transformations; 11 engineered domain interaction features; VIF collinearity elimination from VIF = inf / 9.53 down to &lt;= 2.34 (</w:t>
            </w:r>
            <w:hyperlink r:id="rId20">
              <w:r w:rsidDel="00000000" w:rsidR="00000000" w:rsidRPr="00000000">
                <w:rPr>
                  <w:color w:val="0284c7"/>
                  <w:sz w:val="18"/>
                  <w:szCs w:val="18"/>
                  <w:u w:val="single"/>
                  <w:vertAlign w:val="baseline"/>
                  <w:rtl w:val="0"/>
                </w:rPr>
                <w:t xml:space="preserve">Step 2 Colab Notebook</w:t>
              </w:r>
            </w:hyperlink>
            <w:r w:rsidDel="00000000" w:rsidR="00000000" w:rsidRPr="00000000">
              <w:rPr>
                <w:sz w:val="18"/>
                <w:szCs w:val="18"/>
                <w:vertAlign w:val="baseline"/>
                <w:rtl w:val="0"/>
              </w:rPr>
              <w:t xml:space="preserve">, </w:t>
            </w:r>
            <w:hyperlink r:id="rId21">
              <w:r w:rsidDel="00000000" w:rsidR="00000000" w:rsidRPr="00000000">
                <w:rPr>
                  <w:color w:val="0284c7"/>
                  <w:sz w:val="18"/>
                  <w:szCs w:val="18"/>
                  <w:u w:val="single"/>
                  <w:vertAlign w:val="baseline"/>
                  <w:rtl w:val="0"/>
                </w:rPr>
                <w:t xml:space="preserve">Step 2 VIF Dashboard PNG</w:t>
              </w:r>
            </w:hyperlink>
            <w:r w:rsidDel="00000000" w:rsidR="00000000" w:rsidRPr="00000000">
              <w:rPr>
                <w:sz w:val="18"/>
                <w:szCs w:val="18"/>
                <w:vertAlign w:val="baseline"/>
                <w:rtl w:val="0"/>
              </w:rPr>
              <w:t xml:space="preserve">, </w:t>
            </w:r>
            <w:hyperlink r:id="rId22">
              <w:r w:rsidDel="00000000" w:rsidR="00000000" w:rsidRPr="00000000">
                <w:rPr>
                  <w:color w:val="0284c7"/>
                  <w:sz w:val="18"/>
                  <w:szCs w:val="18"/>
                  <w:u w:val="single"/>
                  <w:vertAlign w:val="baseline"/>
                  <w:rtl w:val="0"/>
                </w:rPr>
                <w:t xml:space="preserve">Step 2 VIF Audit Sheet</w:t>
              </w:r>
            </w:hyperlink>
            <w:r w:rsidDel="00000000" w:rsidR="00000000" w:rsidRPr="00000000">
              <w:rPr>
                <w:sz w:val="18"/>
                <w:szCs w:val="18"/>
                <w:vertAlign w:val="baseline"/>
                <w:rtl w:val="0"/>
              </w:rPr>
              <w:t xml:space="preserve">).</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COMPLETED (Current Checkpoint)</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Step 3</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Imbalance Mitigation &amp; Multi-Model Benchmarking</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Out-of-fold and held-out comparison of No Resampling vs. Class-Weighted Loss vs. SMOTE vs. SMOTE-ENN (applied strictly to training folds) across Logistic Regression, Random Forest, XGBoost, LightGBM, CatBoost, and Focal-Loss Tabular MLP.</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Pending User Review of Step 2</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Step 4</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Decision Economics &amp; Expected Maximum Profit (EMPC) Optimization</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Formulation of customer-specific retention cost-benefit matrix; expected profit curve optimization across probability thresholds (t in [0.05, 0.95]); comparison of 0.50 threshold vs. EMPC-optimal threshold net savings.</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Queued</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Step 5</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Demographic Fairness Auditing &amp; Bias Mitigation</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Evaluation of Disparate Impact (DI), Statistical Parity Difference (SPD), Equal Opportunity Difference (EOD), and Predictive Equality across SeniorCitizen (0 vs. 1) and gender (Male vs. Female), plus post-processing threshold calibration.</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Queued</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Step 6</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Post-Hoc Explainable AI (SHAP) &amp; Operational Retention Playbook</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Global SHAP summary/beeswarm rankings, feature dependence interaction curves, local customer waterfall explanations across risk tiers, and final executive synthesis.</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Queued</w:t>
            </w:r>
          </w:p>
        </w:tc>
      </w:tr>
    </w:tbl>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340" w:lineRule="auto"/>
        <w:rPr/>
      </w:pPr>
      <w:r w:rsidDel="00000000" w:rsidR="00000000" w:rsidRPr="00000000">
        <w:rPr>
          <w:rtl w:val="0"/>
        </w:rPr>
        <w:t xml:space="preserve">Step 1 Execution: Problem Formulation, Data Hygiene Audit, and Exploratory Statistical Analysis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1.1 Mathematical Problem Formulation and Dataset Architecture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Let D = {(x_i, y_i)} for i = 1, ..., N denote the telecommunications subscriber cohort of N = 7,043 customer accounts extracted from the </w:t>
      </w:r>
      <w:hyperlink r:id="rId23">
        <w:r w:rsidDel="00000000" w:rsidR="00000000" w:rsidRPr="00000000">
          <w:rPr>
            <w:color w:val="0284c7"/>
            <w:sz w:val="20"/>
            <w:szCs w:val="20"/>
            <w:u w:val="single"/>
            <w:rtl w:val="0"/>
          </w:rPr>
          <w:t xml:space="preserve">IBM Telco Customer Churn corpus</w:t>
        </w:r>
      </w:hyperlink>
      <w:r w:rsidDel="00000000" w:rsidR="00000000" w:rsidRPr="00000000">
        <w:rPr>
          <w:sz w:val="20"/>
          <w:szCs w:val="20"/>
          <w:rtl w:val="0"/>
        </w:rPr>
        <w:t xml:space="preserve">. Each subscriber i is characterized by a unique identifier (customerID), a d = 19 dimensional covariate vector x_i spanning three structural domains (Demographic Profile, Subscribed Service Portfolio, and Account/Billing Telemetry), and a binary attrition indicator y_i in {0, 1}, where y_i = 1 denotes service termination within the preceding billing cycle (Churn = Yes) and y_i = 0 denotes active retention (Churn = No) (</w:t>
      </w:r>
      <w:hyperlink r:id="rId24">
        <w:r w:rsidDel="00000000" w:rsidR="00000000" w:rsidRPr="00000000">
          <w:rPr>
            <w:color w:val="0284c7"/>
            <w:sz w:val="20"/>
            <w:szCs w:val="20"/>
            <w:u w:val="single"/>
            <w:rtl w:val="0"/>
          </w:rPr>
          <w:t xml:space="preserve">Chen et al., 2025</w:t>
        </w:r>
      </w:hyperlink>
      <w:r w:rsidDel="00000000" w:rsidR="00000000" w:rsidRPr="00000000">
        <w:rPr>
          <w:sz w:val="20"/>
          <w:szCs w:val="20"/>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80" w:lineRule="auto"/>
        <w:rPr>
          <w:sz w:val="20"/>
          <w:szCs w:val="20"/>
        </w:rPr>
      </w:pPr>
      <w:r w:rsidDel="00000000" w:rsidR="00000000" w:rsidRPr="00000000">
        <w:rPr>
          <w:sz w:val="20"/>
          <w:szCs w:val="20"/>
          <w:rtl w:val="0"/>
        </w:rPr>
        <w:t xml:space="preserve">Programmatic inspection of the raw dataset in </w:t>
      </w:r>
      <w:hyperlink r:id="rId25">
        <w:r w:rsidDel="00000000" w:rsidR="00000000" w:rsidRPr="00000000">
          <w:rPr>
            <w:color w:val="0284c7"/>
            <w:sz w:val="20"/>
            <w:szCs w:val="20"/>
            <w:u w:val="single"/>
            <w:rtl w:val="0"/>
          </w:rPr>
          <w:t xml:space="preserve">Step1_Data_Hygiene_Audit_and_EDA.ipynb</w:t>
        </w:r>
      </w:hyperlink>
      <w:r w:rsidDel="00000000" w:rsidR="00000000" w:rsidRPr="00000000">
        <w:rPr>
          <w:sz w:val="20"/>
          <w:szCs w:val="20"/>
          <w:rtl w:val="0"/>
        </w:rPr>
        <w:t xml:space="preserve"> confirms zero duplicate records (duplicated().sum() = 0) and 7,043 unique primary keys (customerID). The empirical target distribution exhibits substantial class imbalance: </w:t>
      </w:r>
      <w:r w:rsidDel="00000000" w:rsidR="00000000" w:rsidRPr="00000000">
        <w:rPr>
          <w:b w:val="1"/>
          <w:bCs w:val="1"/>
          <w:sz w:val="20"/>
          <w:szCs w:val="20"/>
          <w:rtl w:val="0"/>
        </w:rPr>
        <w:t xml:space="preserve">5,174 Retained subscribers (73.463%)</w:t>
      </w:r>
      <w:r w:rsidDel="00000000" w:rsidR="00000000" w:rsidRPr="00000000">
        <w:rPr>
          <w:sz w:val="20"/>
          <w:szCs w:val="20"/>
          <w:rtl w:val="0"/>
        </w:rPr>
        <w:t xml:space="preserve"> versus </w:t>
      </w:r>
      <w:r w:rsidDel="00000000" w:rsidR="00000000" w:rsidRPr="00000000">
        <w:rPr>
          <w:b w:val="1"/>
          <w:bCs w:val="1"/>
          <w:sz w:val="20"/>
          <w:szCs w:val="20"/>
          <w:rtl w:val="0"/>
        </w:rPr>
        <w:t xml:space="preserve">1,869 Churned subscribers (26.537%)</w:t>
      </w:r>
      <w:r w:rsidDel="00000000" w:rsidR="00000000" w:rsidRPr="00000000">
        <w:rPr>
          <w:sz w:val="20"/>
          <w:szCs w:val="20"/>
          <w:rtl w:val="0"/>
        </w:rPr>
        <w:t xml:space="preserve">, corresponding to a majority-to-minority imbalance ratio of </w:t>
      </w:r>
      <w:r w:rsidDel="00000000" w:rsidR="00000000" w:rsidRPr="00000000">
        <w:rPr>
          <w:b w:val="1"/>
          <w:bCs w:val="1"/>
          <w:sz w:val="20"/>
          <w:szCs w:val="20"/>
          <w:rtl w:val="0"/>
        </w:rPr>
        <w:t xml:space="preserve">2.768 : 1</w:t>
      </w:r>
      <w:r w:rsidDel="00000000" w:rsidR="00000000" w:rsidRPr="00000000">
        <w:rPr>
          <w:sz w:val="20"/>
          <w:szCs w:val="20"/>
          <w:rtl w:val="0"/>
        </w:rPr>
        <w:t xml:space="preserv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Schema Audit and Exact Resolution of the TotalCharges Whitespace Anomaly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80" w:lineRule="auto"/>
        <w:rPr>
          <w:sz w:val="20"/>
          <w:szCs w:val="20"/>
        </w:rPr>
      </w:pPr>
      <w:r w:rsidDel="00000000" w:rsidR="00000000" w:rsidRPr="00000000">
        <w:rPr>
          <w:sz w:val="20"/>
          <w:szCs w:val="20"/>
          <w:rtl w:val="0"/>
        </w:rPr>
        <w:t xml:space="preserve">Whereas tenure (int64, range 0 to 72 months) and MonthlyCharges (float64, range $18.25 to $118.75) are parsed as numeric types, standard CSV ingestion assigns TotalCharges an object (string) data type, while df.isna().sum() deceptively reports zero missing values across all 21 columns (</w:t>
      </w:r>
      <w:hyperlink r:id="rId26">
        <w:r w:rsidDel="00000000" w:rsidR="00000000" w:rsidRPr="00000000">
          <w:rPr>
            <w:color w:val="0284c7"/>
            <w:sz w:val="20"/>
            <w:szCs w:val="20"/>
            <w:u w:val="single"/>
            <w:rtl w:val="0"/>
          </w:rPr>
          <w:t xml:space="preserve">Telco Churn Complete Guide</w:t>
        </w:r>
      </w:hyperlink>
      <w:r w:rsidDel="00000000" w:rsidR="00000000" w:rsidRPr="00000000">
        <w:rPr>
          <w:sz w:val="20"/>
          <w:szCs w:val="20"/>
          <w:rtl w:val="0"/>
        </w:rPr>
        <w:t xml:space="preserve">). Coercive numeric parsing (pd.to_numeric(df['TotalCharges'], errors='coerce')) exposes exactly </w:t>
      </w:r>
      <w:r w:rsidDel="00000000" w:rsidR="00000000" w:rsidRPr="00000000">
        <w:rPr>
          <w:b w:val="1"/>
          <w:bCs w:val="1"/>
          <w:sz w:val="20"/>
          <w:szCs w:val="20"/>
          <w:rtl w:val="0"/>
        </w:rPr>
        <w:t xml:space="preserve">11 records (0.1562% of the dataset)</w:t>
      </w:r>
      <w:r w:rsidDel="00000000" w:rsidR="00000000" w:rsidRPr="00000000">
        <w:rPr>
          <w:sz w:val="20"/>
          <w:szCs w:val="20"/>
          <w:rtl w:val="0"/>
        </w:rPr>
        <w:t xml:space="preserve"> at row indices [488, 753, 936, 1082, 1340, 3331, 3826, 4380, 5218, 6670, 6754] containing an ASCII whitespace character (' '). Cross-tabulation in </w:t>
      </w:r>
      <w:hyperlink r:id="rId27">
        <w:r w:rsidDel="00000000" w:rsidR="00000000" w:rsidRPr="00000000">
          <w:rPr>
            <w:color w:val="0284c7"/>
            <w:sz w:val="20"/>
            <w:szCs w:val="20"/>
            <w:u w:val="single"/>
            <w:rtl w:val="0"/>
          </w:rPr>
          <w:t xml:space="preserve">Telco_Churn_11_Blank_TotalCharges_Audit</w:t>
        </w:r>
      </w:hyperlink>
      <w:r w:rsidDel="00000000" w:rsidR="00000000" w:rsidRPr="00000000">
        <w:rPr>
          <w:sz w:val="20"/>
          <w:szCs w:val="20"/>
          <w:rtl w:val="0"/>
        </w:rPr>
        <w:t xml:space="preserve"> proves that 100% of these 11 records have tenure = 0 months, a committed One year or Two year contract, and Churn = No. Because these newly onboarded subscribers have not completed their first billing cycle, their exact cumulative billed amount is </w:t>
      </w:r>
      <w:r w:rsidDel="00000000" w:rsidR="00000000" w:rsidRPr="00000000">
        <w:rPr>
          <w:b w:val="1"/>
          <w:bCs w:val="1"/>
          <w:sz w:val="20"/>
          <w:szCs w:val="20"/>
          <w:rtl w:val="0"/>
        </w:rPr>
        <w:t xml:space="preserve">$0.00</w:t>
      </w:r>
      <w:r w:rsidDel="00000000" w:rsidR="00000000" w:rsidRPr="00000000">
        <w:rPr>
          <w:sz w:val="20"/>
          <w:szCs w:val="20"/>
          <w:rtl w:val="0"/>
        </w:rPr>
        <w:t xml:space="preserve"> (</w:t>
      </w:r>
      <w:hyperlink r:id="rId28">
        <w:r w:rsidDel="00000000" w:rsidR="00000000" w:rsidRPr="00000000">
          <w:rPr>
            <w:color w:val="0284c7"/>
            <w:sz w:val="20"/>
            <w:szCs w:val="20"/>
            <w:u w:val="single"/>
            <w:rtl w:val="0"/>
          </w:rPr>
          <w:t xml:space="preserve">Chen et al., 2025</w:t>
        </w:r>
      </w:hyperlink>
      <w:r w:rsidDel="00000000" w:rsidR="00000000" w:rsidRPr="00000000">
        <w:rPr>
          <w:sz w:val="20"/>
          <w:szCs w:val="20"/>
          <w:rtl w:val="0"/>
        </w:rPr>
        <w:t xml:space="preserv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200" w:before="0" w:lineRule="auto"/>
        <w:rPr/>
      </w:pPr>
      <w:r w:rsidDel="00000000" w:rsidR="00000000" w:rsidRPr="00000000">
        <w:rPr>
          <w:rtl w:val="0"/>
        </w:rPr>
        <w:t xml:space="preserve">1.3 Continuous Feature Divergence and Diagnosis of Simpson's Paradox</w:t>
      </w:r>
    </w:p>
    <w:tbl>
      <w:tblPr>
        <w:tblStyle w:val="Table2"/>
        <w:tblW w:w="9360.000000000002"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tcBorders>
              <w:top w:color="94a3b8" w:space="0" w:sz="6" w:val="single"/>
              <w:left w:color="94a3b8" w:space="0" w:sz="6" w:val="single"/>
              <w:bottom w:color="94a3b8" w:space="0" w:sz="6" w:val="single"/>
              <w:right w:color="94a3b8" w:space="0" w:sz="6" w:val="single"/>
            </w:tcBorders>
            <w:shd w:fill="1e3a8a" w:val="clear"/>
            <w:tcMar>
              <w:top w:w="120.0" w:type="dxa"/>
              <w:left w:w="160.0" w:type="dxa"/>
              <w:bottom w:w="120.0" w:type="dxa"/>
              <w:right w:w="16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Continuous Feature</w:t>
            </w:r>
          </w:p>
        </w:tc>
        <w:tc>
          <w:tcPr>
            <w:tcBorders>
              <w:top w:color="94a3b8" w:space="0" w:sz="6" w:val="single"/>
              <w:left w:color="94a3b8" w:space="0" w:sz="6" w:val="single"/>
              <w:bottom w:color="94a3b8" w:space="0" w:sz="6" w:val="single"/>
              <w:right w:color="94a3b8" w:space="0" w:sz="6" w:val="single"/>
            </w:tcBorders>
            <w:shd w:fill="1e3a8a" w:val="clear"/>
            <w:tcMar>
              <w:top w:w="120.0" w:type="dxa"/>
              <w:left w:w="160.0" w:type="dxa"/>
              <w:bottom w:w="120.0" w:type="dxa"/>
              <w:right w:w="16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Global Range</w:t>
            </w:r>
          </w:p>
        </w:tc>
        <w:tc>
          <w:tcPr>
            <w:tcBorders>
              <w:top w:color="94a3b8" w:space="0" w:sz="6" w:val="single"/>
              <w:left w:color="94a3b8" w:space="0" w:sz="6" w:val="single"/>
              <w:bottom w:color="94a3b8" w:space="0" w:sz="6" w:val="single"/>
              <w:right w:color="94a3b8" w:space="0" w:sz="6" w:val="single"/>
            </w:tcBorders>
            <w:shd w:fill="1e3a8a" w:val="clear"/>
            <w:tcMar>
              <w:top w:w="120.0" w:type="dxa"/>
              <w:left w:w="160.0" w:type="dxa"/>
              <w:bottom w:w="120.0" w:type="dxa"/>
              <w:right w:w="16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Global Mean (Std Dev)</w:t>
            </w:r>
          </w:p>
        </w:tc>
        <w:tc>
          <w:tcPr>
            <w:tcBorders>
              <w:top w:color="94a3b8" w:space="0" w:sz="6" w:val="single"/>
              <w:left w:color="94a3b8" w:space="0" w:sz="6" w:val="single"/>
              <w:bottom w:color="94a3b8" w:space="0" w:sz="6" w:val="single"/>
              <w:right w:color="94a3b8" w:space="0" w:sz="6" w:val="single"/>
            </w:tcBorders>
            <w:shd w:fill="1e3a8a" w:val="clear"/>
            <w:tcMar>
              <w:top w:w="120.0" w:type="dxa"/>
              <w:left w:w="160.0" w:type="dxa"/>
              <w:bottom w:w="120.0" w:type="dxa"/>
              <w:right w:w="16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Retained Mean (n = 5,174)</w:t>
            </w:r>
          </w:p>
        </w:tc>
        <w:tc>
          <w:tcPr>
            <w:tcBorders>
              <w:top w:color="94a3b8" w:space="0" w:sz="6" w:val="single"/>
              <w:left w:color="94a3b8" w:space="0" w:sz="6" w:val="single"/>
              <w:bottom w:color="94a3b8" w:space="0" w:sz="6" w:val="single"/>
              <w:right w:color="94a3b8" w:space="0" w:sz="6" w:val="single"/>
            </w:tcBorders>
            <w:shd w:fill="1e3a8a" w:val="clear"/>
            <w:tcMar>
              <w:top w:w="120.0" w:type="dxa"/>
              <w:left w:w="160.0" w:type="dxa"/>
              <w:bottom w:w="120.0" w:type="dxa"/>
              <w:right w:w="16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Churned Mean (n = 1,869)</w:t>
            </w:r>
          </w:p>
        </w:tc>
        <w:tc>
          <w:tcPr>
            <w:tcBorders>
              <w:top w:color="94a3b8" w:space="0" w:sz="6" w:val="single"/>
              <w:left w:color="94a3b8" w:space="0" w:sz="6" w:val="single"/>
              <w:bottom w:color="94a3b8" w:space="0" w:sz="6" w:val="single"/>
              <w:right w:color="94a3b8" w:space="0" w:sz="6" w:val="single"/>
            </w:tcBorders>
            <w:shd w:fill="1e3a8a" w:val="clear"/>
            <w:tcMar>
              <w:top w:w="120.0" w:type="dxa"/>
              <w:left w:w="160.0" w:type="dxa"/>
              <w:bottom w:w="120.0" w:type="dxa"/>
              <w:right w:w="16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Relative Difference</w:t>
            </w:r>
          </w:p>
        </w:tc>
        <w:tc>
          <w:tcPr>
            <w:tcBorders>
              <w:top w:color="94a3b8" w:space="0" w:sz="6" w:val="single"/>
              <w:left w:color="94a3b8" w:space="0" w:sz="6" w:val="single"/>
              <w:bottom w:color="94a3b8" w:space="0" w:sz="6" w:val="single"/>
              <w:right w:color="94a3b8" w:space="0" w:sz="6" w:val="single"/>
            </w:tcBorders>
            <w:shd w:fill="1e3a8a" w:val="clear"/>
            <w:tcMar>
              <w:top w:w="120.0" w:type="dxa"/>
              <w:left w:w="160.0" w:type="dxa"/>
              <w:bottom w:w="120.0" w:type="dxa"/>
              <w:right w:w="16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Correlation (r) with Churn</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tenure (Months)</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0.00 – 72.00</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32.371 (24.559)</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37.570 months</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17.979 months</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-52.15%</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-0.352</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MonthlyCharges ($)</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$18.25 – $118.75</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m:oMath>
              <m:r>
                <w:rPr>
                  <w:sz w:val="18"/>
                  <w:szCs w:val="18"/>
                  <w:vertAlign w:val="baseline"/>
                </w:rPr>
                <m:t xml:space="preserve">64.762(</m:t>
              </m:r>
            </m:oMath>
            <w:r w:rsidDel="00000000" w:rsidR="00000000" w:rsidRPr="00000000">
              <w:rPr>
                <w:sz w:val="18"/>
                <w:szCs w:val="18"/>
                <w:vertAlign w:val="baseline"/>
                <w:rtl w:val="0"/>
              </w:rPr>
              <w:t xml:space="preserve">30.090)</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$61.265</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$74.441</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+21.51%</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+0.193</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TotalCharges ($)</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$0.00 – $8,684.80</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m:oMath>
              <m:r>
                <w:rPr>
                  <w:sz w:val="18"/>
                  <w:szCs w:val="18"/>
                  <w:vertAlign w:val="baseline"/>
                </w:rPr>
                <m:t xml:space="preserve">2,279.734(</m:t>
              </m:r>
            </m:oMath>
            <w:r w:rsidDel="00000000" w:rsidR="00000000" w:rsidRPr="00000000">
              <w:rPr>
                <w:sz w:val="18"/>
                <w:szCs w:val="18"/>
                <w:vertAlign w:val="baseline"/>
                <w:rtl w:val="0"/>
              </w:rPr>
              <w:t xml:space="preserve">2,266.79)</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$2,555.344</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$1,531.796</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-40.06%</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-0.199</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80" w:before="200" w:lineRule="auto"/>
        <w:rPr>
          <w:sz w:val="20"/>
          <w:szCs w:val="20"/>
        </w:rPr>
      </w:pPr>
      <w:r w:rsidDel="00000000" w:rsidR="00000000" w:rsidRPr="00000000">
        <w:rPr>
          <w:sz w:val="20"/>
          <w:szCs w:val="20"/>
          <w:rtl w:val="0"/>
        </w:rPr>
        <w:t xml:space="preserve">The opposite signs of MonthlyCharges (r = +0.193) and TotalCharges (r = -0.199) represent a classic manifestation of </w:t>
      </w:r>
      <w:r w:rsidDel="00000000" w:rsidR="00000000" w:rsidRPr="00000000">
        <w:rPr>
          <w:b w:val="1"/>
          <w:bCs w:val="1"/>
          <w:sz w:val="20"/>
          <w:szCs w:val="20"/>
          <w:rtl w:val="0"/>
        </w:rPr>
        <w:t xml:space="preserve">Simpson's Paradox driven by temporal confounding</w:t>
      </w:r>
      <w:r w:rsidDel="00000000" w:rsidR="00000000" w:rsidRPr="00000000">
        <w:rPr>
          <w:sz w:val="20"/>
          <w:szCs w:val="20"/>
          <w:rtl w:val="0"/>
        </w:rPr>
        <w:t xml:space="preserve"> (</w:t>
      </w:r>
      <w:hyperlink r:id="rId29">
        <w:r w:rsidDel="00000000" w:rsidR="00000000" w:rsidRPr="00000000">
          <w:rPr>
            <w:color w:val="0284c7"/>
            <w:sz w:val="20"/>
            <w:szCs w:val="20"/>
            <w:u w:val="single"/>
            <w:rtl w:val="0"/>
          </w:rPr>
          <w:t xml:space="preserve">Bozkus, 2022</w:t>
        </w:r>
      </w:hyperlink>
      <w:r w:rsidDel="00000000" w:rsidR="00000000" w:rsidRPr="00000000">
        <w:rPr>
          <w:sz w:val="20"/>
          <w:szCs w:val="20"/>
          <w:rtl w:val="0"/>
        </w:rPr>
        <w:t xml:space="preserve">): because TotalCharges scales with tenure (r = 0.8259), departing customers accumulate lower cumulative charges (</w:t>
      </w:r>
      <m:oMath>
        <m:r>
          <w:rPr>
            <w:sz w:val="20"/>
            <w:szCs w:val="20"/>
          </w:rPr>
          <m:t xml:space="preserve">1,531.80)simplybecausetheyleaveearly(17.98monthsvs.37.57months),despitepayinga+21.51%highermonthlytariff(</m:t>
        </m:r>
      </m:oMath>
      <w:r w:rsidDel="00000000" w:rsidR="00000000" w:rsidRPr="00000000">
        <w:rPr>
          <w:sz w:val="20"/>
          <w:szCs w:val="20"/>
          <w:rtl w:val="0"/>
        </w:rPr>
        <w:t xml:space="preserve">74.44 vs. $61.27).</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Categorical Risk Stratification and Protected Demographic Baseline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Full cross-tabulation across all 36 categorical levels (saved in </w:t>
      </w:r>
      <w:hyperlink r:id="rId30">
        <w:r w:rsidDel="00000000" w:rsidR="00000000" w:rsidRPr="00000000">
          <w:rPr>
            <w:color w:val="0284c7"/>
            <w:sz w:val="20"/>
            <w:szCs w:val="20"/>
            <w:u w:val="single"/>
            <w:rtl w:val="0"/>
          </w:rPr>
          <w:t xml:space="preserve">Step1_Cohort_Churn_Summary_Table</w:t>
        </w:r>
      </w:hyperlink>
      <w:r w:rsidDel="00000000" w:rsidR="00000000" w:rsidRPr="00000000">
        <w:rPr>
          <w:sz w:val="20"/>
          <w:szCs w:val="20"/>
          <w:rtl w:val="0"/>
        </w:rPr>
        <w:t xml:space="preserve"> and plotted in </w:t>
      </w:r>
      <w:hyperlink r:id="rId31">
        <w:r w:rsidDel="00000000" w:rsidR="00000000" w:rsidRPr="00000000">
          <w:rPr>
            <w:color w:val="0284c7"/>
            <w:sz w:val="20"/>
            <w:szCs w:val="20"/>
            <w:u w:val="single"/>
            <w:rtl w:val="0"/>
          </w:rPr>
          <w:t xml:space="preserve">Step1_EDA_Diagnostic_Dashboard.png</w:t>
        </w:r>
      </w:hyperlink>
      <w:r w:rsidDel="00000000" w:rsidR="00000000" w:rsidRPr="00000000">
        <w:rPr>
          <w:sz w:val="20"/>
          <w:szCs w:val="20"/>
          <w:rtl w:val="0"/>
        </w:rPr>
        <w:t xml:space="preserve">) reveals a 16-fold spread in attrition risk:</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z w:val="20"/>
          <w:szCs w:val="20"/>
          <w:rtl w:val="0"/>
        </w:rPr>
        <w:t xml:space="preserve">Highest-Risk Cohorts</w:t>
      </w:r>
      <w:r w:rsidDel="00000000" w:rsidR="00000000" w:rsidRPr="00000000">
        <w:rPr>
          <w:sz w:val="20"/>
          <w:szCs w:val="20"/>
          <w:rtl w:val="0"/>
        </w:rPr>
        <w:t xml:space="preserve">: PaymentMethod = Electronic check (n = 2,365, </w:t>
      </w:r>
      <w:r w:rsidDel="00000000" w:rsidR="00000000" w:rsidRPr="00000000">
        <w:rPr>
          <w:b w:val="1"/>
          <w:bCs w:val="1"/>
          <w:sz w:val="20"/>
          <w:szCs w:val="20"/>
          <w:rtl w:val="0"/>
        </w:rPr>
        <w:t xml:space="preserve">45.3% churn</w:t>
      </w:r>
      <w:r w:rsidDel="00000000" w:rsidR="00000000" w:rsidRPr="00000000">
        <w:rPr>
          <w:sz w:val="20"/>
          <w:szCs w:val="20"/>
          <w:rtl w:val="0"/>
        </w:rPr>
        <w:t xml:space="preserve">), Contract = Month-to-month (n = 3,875, </w:t>
      </w:r>
      <w:r w:rsidDel="00000000" w:rsidR="00000000" w:rsidRPr="00000000">
        <w:rPr>
          <w:b w:val="1"/>
          <w:bCs w:val="1"/>
          <w:sz w:val="20"/>
          <w:szCs w:val="20"/>
          <w:rtl w:val="0"/>
        </w:rPr>
        <w:t xml:space="preserve">42.7% churn</w:t>
      </w:r>
      <w:r w:rsidDel="00000000" w:rsidR="00000000" w:rsidRPr="00000000">
        <w:rPr>
          <w:sz w:val="20"/>
          <w:szCs w:val="20"/>
          <w:rtl w:val="0"/>
        </w:rPr>
        <w:t xml:space="preserve">), InternetService = Fiber optic (n = 3,096, </w:t>
      </w:r>
      <w:r w:rsidDel="00000000" w:rsidR="00000000" w:rsidRPr="00000000">
        <w:rPr>
          <w:b w:val="1"/>
          <w:bCs w:val="1"/>
          <w:sz w:val="20"/>
          <w:szCs w:val="20"/>
          <w:rtl w:val="0"/>
        </w:rPr>
        <w:t xml:space="preserve">41.9% churn</w:t>
      </w:r>
      <w:r w:rsidDel="00000000" w:rsidR="00000000" w:rsidRPr="00000000">
        <w:rPr>
          <w:sz w:val="20"/>
          <w:szCs w:val="20"/>
          <w:rtl w:val="0"/>
        </w:rPr>
        <w:t xml:space="preserve">), and SeniorCitizen = Yes (n = 1,142, </w:t>
      </w:r>
      <w:r w:rsidDel="00000000" w:rsidR="00000000" w:rsidRPr="00000000">
        <w:rPr>
          <w:b w:val="1"/>
          <w:bCs w:val="1"/>
          <w:sz w:val="20"/>
          <w:szCs w:val="20"/>
          <w:rtl w:val="0"/>
        </w:rPr>
        <w:t xml:space="preserve">41.7% churn</w:t>
      </w:r>
      <w:r w:rsidDel="00000000" w:rsidR="00000000" w:rsidRPr="00000000">
        <w:rPr>
          <w:sz w:val="20"/>
          <w:szCs w:val="20"/>
          <w:rtl w:val="0"/>
        </w:rPr>
        <w:t xml:space="preserve">).</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z w:val="20"/>
          <w:szCs w:val="20"/>
          <w:rtl w:val="0"/>
        </w:rPr>
        <w:t xml:space="preserve">Strongest Retention Anchors</w:t>
      </w:r>
      <w:r w:rsidDel="00000000" w:rsidR="00000000" w:rsidRPr="00000000">
        <w:rPr>
          <w:sz w:val="20"/>
          <w:szCs w:val="20"/>
          <w:rtl w:val="0"/>
        </w:rPr>
        <w:t xml:space="preserve">: Contract = Two year (n = 1,695, </w:t>
      </w:r>
      <w:r w:rsidDel="00000000" w:rsidR="00000000" w:rsidRPr="00000000">
        <w:rPr>
          <w:b w:val="1"/>
          <w:bCs w:val="1"/>
          <w:sz w:val="20"/>
          <w:szCs w:val="20"/>
          <w:rtl w:val="0"/>
        </w:rPr>
        <w:t xml:space="preserve">2.8% churn</w:t>
      </w:r>
      <w:r w:rsidDel="00000000" w:rsidR="00000000" w:rsidRPr="00000000">
        <w:rPr>
          <w:sz w:val="20"/>
          <w:szCs w:val="20"/>
          <w:rtl w:val="0"/>
        </w:rPr>
        <w:t xml:space="preserve">), InternetService = No (n = 1,526, </w:t>
      </w:r>
      <w:r w:rsidDel="00000000" w:rsidR="00000000" w:rsidRPr="00000000">
        <w:rPr>
          <w:b w:val="1"/>
          <w:bCs w:val="1"/>
          <w:sz w:val="20"/>
          <w:szCs w:val="20"/>
          <w:rtl w:val="0"/>
        </w:rPr>
        <w:t xml:space="preserve">7.4% churn</w:t>
      </w:r>
      <w:r w:rsidDel="00000000" w:rsidR="00000000" w:rsidRPr="00000000">
        <w:rPr>
          <w:sz w:val="20"/>
          <w:szCs w:val="20"/>
          <w:rtl w:val="0"/>
        </w:rPr>
        <w:t xml:space="preserve">), Contract = One year (n = 1,473, </w:t>
      </w:r>
      <w:r w:rsidDel="00000000" w:rsidR="00000000" w:rsidRPr="00000000">
        <w:rPr>
          <w:b w:val="1"/>
          <w:bCs w:val="1"/>
          <w:sz w:val="20"/>
          <w:szCs w:val="20"/>
          <w:rtl w:val="0"/>
        </w:rPr>
        <w:t xml:space="preserve">11.3% churn</w:t>
      </w:r>
      <w:r w:rsidDel="00000000" w:rsidR="00000000" w:rsidRPr="00000000">
        <w:rPr>
          <w:sz w:val="20"/>
          <w:szCs w:val="20"/>
          <w:rtl w:val="0"/>
        </w:rPr>
        <w:t xml:space="preserve">), OnlineSecurity = Yes (n = 2,019, </w:t>
      </w:r>
      <w:r w:rsidDel="00000000" w:rsidR="00000000" w:rsidRPr="00000000">
        <w:rPr>
          <w:b w:val="1"/>
          <w:bCs w:val="1"/>
          <w:sz w:val="20"/>
          <w:szCs w:val="20"/>
          <w:rtl w:val="0"/>
        </w:rPr>
        <w:t xml:space="preserve">14.6% churn</w:t>
      </w:r>
      <w:r w:rsidDel="00000000" w:rsidR="00000000" w:rsidRPr="00000000">
        <w:rPr>
          <w:sz w:val="20"/>
          <w:szCs w:val="20"/>
          <w:rtl w:val="0"/>
        </w:rPr>
        <w:t xml:space="preserve">), and TechSupport = Yes (n = 2,044, </w:t>
      </w:r>
      <w:r w:rsidDel="00000000" w:rsidR="00000000" w:rsidRPr="00000000">
        <w:rPr>
          <w:b w:val="1"/>
          <w:bCs w:val="1"/>
          <w:sz w:val="20"/>
          <w:szCs w:val="20"/>
          <w:rtl w:val="0"/>
        </w:rPr>
        <w:t xml:space="preserve">15.2% churn</w:t>
      </w:r>
      <w:r w:rsidDel="00000000" w:rsidR="00000000" w:rsidRPr="00000000">
        <w:rPr>
          <w:sz w:val="20"/>
          <w:szCs w:val="20"/>
          <w:rtl w:val="0"/>
        </w:rPr>
        <w:t xml:space="preserve">).</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z w:val="20"/>
          <w:szCs w:val="20"/>
          <w:rtl w:val="0"/>
        </w:rPr>
        <w:t xml:space="preserve">Demographic Fairness Baseline</w:t>
      </w:r>
      <w:r w:rsidDel="00000000" w:rsidR="00000000" w:rsidRPr="00000000">
        <w:rPr>
          <w:sz w:val="20"/>
          <w:szCs w:val="20"/>
          <w:rtl w:val="0"/>
        </w:rPr>
        <w:t xml:space="preserve">: While gender exhibits virtually identical base rates (</w:t>
      </w:r>
      <w:r w:rsidDel="00000000" w:rsidR="00000000" w:rsidRPr="00000000">
        <w:rPr>
          <w:b w:val="1"/>
          <w:bCs w:val="1"/>
          <w:sz w:val="20"/>
          <w:szCs w:val="20"/>
          <w:rtl w:val="0"/>
        </w:rPr>
        <w:t xml:space="preserve">26.92% Female vs. 26.16% Male churn</w:t>
      </w:r>
      <w:r w:rsidDel="00000000" w:rsidR="00000000" w:rsidRPr="00000000">
        <w:rPr>
          <w:sz w:val="20"/>
          <w:szCs w:val="20"/>
          <w:rtl w:val="0"/>
        </w:rPr>
        <w:t xml:space="preserve">, Relative Risk = 1.03x), SeniorCitizen = 1 exhibits a </w:t>
      </w:r>
      <w:r w:rsidDel="00000000" w:rsidR="00000000" w:rsidRPr="00000000">
        <w:rPr>
          <w:b w:val="1"/>
          <w:bCs w:val="1"/>
          <w:sz w:val="20"/>
          <w:szCs w:val="20"/>
          <w:rtl w:val="0"/>
        </w:rPr>
        <w:t xml:space="preserve">41.68% churn rate vs. 23.61% for non-seniors</w:t>
      </w:r>
      <w:r w:rsidDel="00000000" w:rsidR="00000000" w:rsidRPr="00000000">
        <w:rPr>
          <w:sz w:val="20"/>
          <w:szCs w:val="20"/>
          <w:rtl w:val="0"/>
        </w:rPr>
        <w:t xml:space="preserve"> (+18.07 percentage point gap, Relative Risk = 1.77x), motivating the Step 5 Disparate Impact and Equal Opportunity audit (</w:t>
      </w:r>
      <w:hyperlink r:id="rId32">
        <w:r w:rsidDel="00000000" w:rsidR="00000000" w:rsidRPr="00000000">
          <w:rPr>
            <w:color w:val="0284c7"/>
            <w:sz w:val="20"/>
            <w:szCs w:val="20"/>
            <w:u w:val="single"/>
            <w:rtl w:val="0"/>
          </w:rPr>
          <w:t xml:space="preserve">Imani et al., 2025</w:t>
        </w:r>
      </w:hyperlink>
      <w:r w:rsidDel="00000000" w:rsidR="00000000" w:rsidRPr="00000000">
        <w:rPr>
          <w:sz w:val="20"/>
          <w:szCs w:val="20"/>
          <w:rtl w:val="0"/>
        </w:rPr>
        <w:t xml:space="preserve">).</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340" w:lineRule="auto"/>
        <w:rPr/>
      </w:pPr>
      <w:r w:rsidDel="00000000" w:rsidR="00000000" w:rsidRPr="00000000">
        <w:rPr>
          <w:rtl w:val="0"/>
        </w:rPr>
        <w:t xml:space="preserve">Step 2 Execution: Domain Feature Engineering, Leakage Prevention, and VIF Multicollinearity Elimination</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2.1 Strict Pre-Transformation Stratified Partitioning vs. Literature Leakage Anti-Patterns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 systematic audit of published notebooks on the IBM Telco dataset reveals two severe data-leakage anti-patterns that invalidate out-of-sample evaluation (visualized in Panel A of </w:t>
      </w:r>
      <w:hyperlink r:id="rId33">
        <w:r w:rsidDel="00000000" w:rsidR="00000000" w:rsidRPr="00000000">
          <w:rPr>
            <w:color w:val="0284c7"/>
            <w:sz w:val="20"/>
            <w:szCs w:val="20"/>
            <w:u w:val="single"/>
            <w:rtl w:val="0"/>
          </w:rPr>
          <w:t xml:space="preserve">Step2_Feature_Engineering_and_VIF_Dashboard.png</w:t>
        </w:r>
      </w:hyperlink>
      <w:r w:rsidDel="00000000" w:rsidR="00000000" w:rsidRPr="00000000">
        <w:rPr>
          <w:sz w:val="20"/>
          <w:szCs w:val="20"/>
          <w:rtl w:val="0"/>
        </w:rPr>
        <w:t xml:space="preserve">):</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z w:val="20"/>
          <w:szCs w:val="20"/>
          <w:rtl w:val="0"/>
        </w:rPr>
        <w:t xml:space="preserve">Pre-Split Synthetic Oversampling Leakage</w:t>
      </w:r>
      <w:r w:rsidDel="00000000" w:rsidR="00000000" w:rsidRPr="00000000">
        <w:rPr>
          <w:sz w:val="20"/>
          <w:szCs w:val="20"/>
          <w:rtl w:val="0"/>
        </w:rPr>
        <w:t xml:space="preserve">: In </w:t>
      </w:r>
      <w:hyperlink r:id="rId34">
        <w:r w:rsidDel="00000000" w:rsidR="00000000" w:rsidRPr="00000000">
          <w:rPr>
            <w:color w:val="0284c7"/>
            <w:sz w:val="20"/>
            <w:szCs w:val="20"/>
            <w:u w:val="single"/>
            <w:rtl w:val="0"/>
          </w:rPr>
          <w:t xml:space="preserve">Patel (2021)</w:t>
        </w:r>
      </w:hyperlink>
      <w:r w:rsidDel="00000000" w:rsidR="00000000" w:rsidRPr="00000000">
        <w:rPr>
          <w:sz w:val="20"/>
          <w:szCs w:val="20"/>
          <w:rtl w:val="0"/>
        </w:rPr>
        <w:t xml:space="preserve">, MinMaxScaler.fit_transform() and SMOTE.fit_resample() are applied to the full dataset (expanding N = 7,032 to N = 10,326 balanced rows) </w:t>
      </w:r>
      <w:r w:rsidDel="00000000" w:rsidR="00000000" w:rsidRPr="00000000">
        <w:rPr>
          <w:i w:val="1"/>
          <w:iCs w:val="1"/>
          <w:sz w:val="20"/>
          <w:szCs w:val="20"/>
          <w:rtl w:val="0"/>
        </w:rPr>
        <w:t xml:space="preserve">prior</w:t>
      </w:r>
      <w:r w:rsidDel="00000000" w:rsidR="00000000" w:rsidRPr="00000000">
        <w:rPr>
          <w:sz w:val="20"/>
          <w:szCs w:val="20"/>
          <w:rtl w:val="0"/>
        </w:rPr>
        <w:t xml:space="preserve"> to calling train_test_split(). Because SMOTE interpolates nearest neighbors across the entire corpus, test observations directly generate synthetic training points and synthetic vectors contaminate the evaluation split, artificially inflating reported Random Forest accuracy from 73.72% to 81.57% (+7.85 pp) and precision by +24.8 pp.</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z w:val="20"/>
          <w:szCs w:val="20"/>
          <w:rtl w:val="0"/>
        </w:rPr>
        <w:t xml:space="preserve">Pre-Split Majority Downsampling Distortion</w:t>
      </w:r>
      <w:r w:rsidDel="00000000" w:rsidR="00000000" w:rsidRPr="00000000">
        <w:rPr>
          <w:sz w:val="20"/>
          <w:szCs w:val="20"/>
          <w:rtl w:val="0"/>
        </w:rPr>
        <w:t xml:space="preserve">: In </w:t>
      </w:r>
      <w:hyperlink r:id="rId35">
        <w:r w:rsidDel="00000000" w:rsidR="00000000" w:rsidRPr="00000000">
          <w:rPr>
            <w:color w:val="0284c7"/>
            <w:sz w:val="20"/>
            <w:szCs w:val="20"/>
            <w:u w:val="single"/>
            <w:rtl w:val="0"/>
          </w:rPr>
          <w:t xml:space="preserve">Kats (2019)</w:t>
        </w:r>
      </w:hyperlink>
      <w:r w:rsidDel="00000000" w:rsidR="00000000" w:rsidRPr="00000000">
        <w:rPr>
          <w:sz w:val="20"/>
          <w:szCs w:val="20"/>
          <w:rtl w:val="0"/>
        </w:rPr>
        <w:t xml:space="preserve">, the majority retained class (n = 5,174) is downsampled to match the minority class (n = 1,869) </w:t>
      </w:r>
      <w:r w:rsidDel="00000000" w:rsidR="00000000" w:rsidRPr="00000000">
        <w:rPr>
          <w:i w:val="1"/>
          <w:iCs w:val="1"/>
          <w:sz w:val="20"/>
          <w:szCs w:val="20"/>
          <w:rtl w:val="0"/>
        </w:rPr>
        <w:t xml:space="preserve">before</w:t>
      </w:r>
      <w:r w:rsidDel="00000000" w:rsidR="00000000" w:rsidRPr="00000000">
        <w:rPr>
          <w:sz w:val="20"/>
          <w:szCs w:val="20"/>
          <w:rtl w:val="0"/>
        </w:rPr>
        <w:t xml:space="preserve"> partitioning into a 90/10 split (yielding a test set of 187 churned and 187 retained accounts). Evaluating a classifier on an artificial 50.0% churn test distribution rather than the true 26.54% population base rate distorts posterior probabilities, inflates test precision by +18.2 pp, and invalidates Expected Maximum Profit (EMPC) calculations (</w:t>
      </w:r>
      <w:hyperlink r:id="rId36">
        <w:r w:rsidDel="00000000" w:rsidR="00000000" w:rsidRPr="00000000">
          <w:rPr>
            <w:color w:val="0284c7"/>
            <w:sz w:val="20"/>
            <w:szCs w:val="20"/>
            <w:u w:val="single"/>
            <w:rtl w:val="0"/>
          </w:rPr>
          <w:t xml:space="preserve">Imani et al., 2025</w:t>
        </w:r>
      </w:hyperlink>
      <w:r w:rsidDel="00000000" w:rsidR="00000000" w:rsidRPr="00000000">
        <w:rPr>
          <w:sz w:val="20"/>
          <w:szCs w:val="20"/>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00" w:lineRule="auto"/>
        <w:rPr>
          <w:sz w:val="20"/>
          <w:szCs w:val="20"/>
        </w:rPr>
      </w:pPr>
      <w:r w:rsidDel="00000000" w:rsidR="00000000" w:rsidRPr="00000000">
        <w:rPr>
          <w:sz w:val="20"/>
          <w:szCs w:val="20"/>
          <w:rtl w:val="0"/>
        </w:rPr>
        <w:t xml:space="preserve">To eliminate both errors, </w:t>
      </w:r>
      <w:hyperlink r:id="rId37">
        <w:r w:rsidDel="00000000" w:rsidR="00000000" w:rsidRPr="00000000">
          <w:rPr>
            <w:color w:val="0284c7"/>
            <w:sz w:val="20"/>
            <w:szCs w:val="20"/>
            <w:u w:val="single"/>
            <w:rtl w:val="0"/>
          </w:rPr>
          <w:t xml:space="preserve">Step2_Feature_Engineering_and_Preprocessing.ipynb</w:t>
        </w:r>
      </w:hyperlink>
      <w:r w:rsidDel="00000000" w:rsidR="00000000" w:rsidRPr="00000000">
        <w:rPr>
          <w:sz w:val="20"/>
          <w:szCs w:val="20"/>
          <w:rtl w:val="0"/>
        </w:rPr>
        <w:t xml:space="preserve"> enforces a strict 80/20 stratified train-test split (random_state = 42) as the very first operation prior to fitting any scalers or resamplers:</w:t>
      </w:r>
    </w:p>
    <w:tbl>
      <w:tblPr>
        <w:tblStyle w:val="Table3"/>
        <w:tblW w:w="9360.000000000002"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tcBorders>
              <w:top w:color="94a3b8" w:space="0" w:sz="6" w:val="single"/>
              <w:left w:color="94a3b8" w:space="0" w:sz="6" w:val="single"/>
              <w:bottom w:color="94a3b8" w:space="0" w:sz="6" w:val="single"/>
              <w:right w:color="94a3b8" w:space="0" w:sz="6" w:val="single"/>
            </w:tcBorders>
            <w:shd w:fill="1e3a8a" w:val="clear"/>
            <w:tcMar>
              <w:top w:w="120.0" w:type="dxa"/>
              <w:left w:w="160.0" w:type="dxa"/>
              <w:bottom w:w="120.0" w:type="dxa"/>
              <w:right w:w="16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Partition</w:t>
            </w:r>
          </w:p>
        </w:tc>
        <w:tc>
          <w:tcPr>
            <w:tcBorders>
              <w:top w:color="94a3b8" w:space="0" w:sz="6" w:val="single"/>
              <w:left w:color="94a3b8" w:space="0" w:sz="6" w:val="single"/>
              <w:bottom w:color="94a3b8" w:space="0" w:sz="6" w:val="single"/>
              <w:right w:color="94a3b8" w:space="0" w:sz="6" w:val="single"/>
            </w:tcBorders>
            <w:shd w:fill="1e3a8a" w:val="clear"/>
            <w:tcMar>
              <w:top w:w="120.0" w:type="dxa"/>
              <w:left w:w="160.0" w:type="dxa"/>
              <w:bottom w:w="120.0" w:type="dxa"/>
              <w:right w:w="16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Total Accounts (n)</w:t>
            </w:r>
          </w:p>
        </w:tc>
        <w:tc>
          <w:tcPr>
            <w:tcBorders>
              <w:top w:color="94a3b8" w:space="0" w:sz="6" w:val="single"/>
              <w:left w:color="94a3b8" w:space="0" w:sz="6" w:val="single"/>
              <w:bottom w:color="94a3b8" w:space="0" w:sz="6" w:val="single"/>
              <w:right w:color="94a3b8" w:space="0" w:sz="6" w:val="single"/>
            </w:tcBorders>
            <w:shd w:fill="1e3a8a" w:val="clear"/>
            <w:tcMar>
              <w:top w:w="120.0" w:type="dxa"/>
              <w:left w:w="160.0" w:type="dxa"/>
              <w:bottom w:w="120.0" w:type="dxa"/>
              <w:right w:w="16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Retained (Churn = 0)</w:t>
            </w:r>
          </w:p>
        </w:tc>
        <w:tc>
          <w:tcPr>
            <w:tcBorders>
              <w:top w:color="94a3b8" w:space="0" w:sz="6" w:val="single"/>
              <w:left w:color="94a3b8" w:space="0" w:sz="6" w:val="single"/>
              <w:bottom w:color="94a3b8" w:space="0" w:sz="6" w:val="single"/>
              <w:right w:color="94a3b8" w:space="0" w:sz="6" w:val="single"/>
            </w:tcBorders>
            <w:shd w:fill="1e3a8a" w:val="clear"/>
            <w:tcMar>
              <w:top w:w="120.0" w:type="dxa"/>
              <w:left w:w="160.0" w:type="dxa"/>
              <w:bottom w:w="120.0" w:type="dxa"/>
              <w:right w:w="16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Churned (Churn = 1)</w:t>
            </w:r>
          </w:p>
        </w:tc>
        <w:tc>
          <w:tcPr>
            <w:tcBorders>
              <w:top w:color="94a3b8" w:space="0" w:sz="6" w:val="single"/>
              <w:left w:color="94a3b8" w:space="0" w:sz="6" w:val="single"/>
              <w:bottom w:color="94a3b8" w:space="0" w:sz="6" w:val="single"/>
              <w:right w:color="94a3b8" w:space="0" w:sz="6" w:val="single"/>
            </w:tcBorders>
            <w:shd w:fill="1e3a8a" w:val="clear"/>
            <w:tcMar>
              <w:top w:w="120.0" w:type="dxa"/>
              <w:left w:w="160.0" w:type="dxa"/>
              <w:bottom w:w="120.0" w:type="dxa"/>
              <w:right w:w="16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Imbalance Ratio</w:t>
            </w:r>
          </w:p>
        </w:tc>
        <w:tc>
          <w:tcPr>
            <w:tcBorders>
              <w:top w:color="94a3b8" w:space="0" w:sz="6" w:val="single"/>
              <w:left w:color="94a3b8" w:space="0" w:sz="6" w:val="single"/>
              <w:bottom w:color="94a3b8" w:space="0" w:sz="6" w:val="single"/>
              <w:right w:color="94a3b8" w:space="0" w:sz="6" w:val="single"/>
            </w:tcBorders>
            <w:shd w:fill="1e3a8a" w:val="clear"/>
            <w:tcMar>
              <w:top w:w="120.0" w:type="dxa"/>
              <w:left w:w="160.0" w:type="dxa"/>
              <w:bottom w:w="120.0" w:type="dxa"/>
              <w:right w:w="16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SeniorCitizen = 1 Share (%)</w:t>
            </w:r>
          </w:p>
        </w:tc>
        <w:tc>
          <w:tcPr>
            <w:tcBorders>
              <w:top w:color="94a3b8" w:space="0" w:sz="6" w:val="single"/>
              <w:left w:color="94a3b8" w:space="0" w:sz="6" w:val="single"/>
              <w:bottom w:color="94a3b8" w:space="0" w:sz="6" w:val="single"/>
              <w:right w:color="94a3b8" w:space="0" w:sz="6" w:val="single"/>
            </w:tcBorders>
            <w:shd w:fill="1e3a8a" w:val="clear"/>
            <w:tcMar>
              <w:top w:w="120.0" w:type="dxa"/>
              <w:left w:w="160.0" w:type="dxa"/>
              <w:bottom w:w="120.0" w:type="dxa"/>
              <w:right w:w="16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Female Share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Full Cleaned Corpus</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7,043 (100.0%)</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5,174 (73.463%)</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1,869 (26.537%)</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2.768 : 1</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16.21% (1,142)</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49.52% (3,488)</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Training Split (X_train)</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5,634 (80.0%)</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4,139 (73.465%)</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1,495 (26.535%)</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2.769 : 1</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16.22% (914)</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49.54% (2,791)</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Held-Out Test Split (X_test)</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1,409 (20.0%)</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1,035 (73.456%)</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374 (26.544%)</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2.767 : 1</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16.18% (228)</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49.47% (697)</w:t>
            </w:r>
          </w:p>
        </w:tc>
      </w:tr>
    </w:tbl>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Domain Interaction Feature Engineering and Protection vs. Streaming Decomposition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Eleven domain-specific behavioral, financial, and contractual features were engineered and audited in </w:t>
      </w:r>
      <w:hyperlink r:id="rId38">
        <w:r w:rsidDel="00000000" w:rsidR="00000000" w:rsidRPr="00000000">
          <w:rPr>
            <w:color w:val="0284c7"/>
            <w:sz w:val="20"/>
            <w:szCs w:val="20"/>
            <w:u w:val="single"/>
            <w:rtl w:val="0"/>
          </w:rPr>
          <w:t xml:space="preserve">Step2_Engineered_Features_and_VIF_Audit</w:t>
        </w:r>
      </w:hyperlink>
      <w:r w:rsidDel="00000000" w:rsidR="00000000" w:rsidRPr="00000000">
        <w:rPr>
          <w:sz w:val="20"/>
          <w:szCs w:val="20"/>
          <w:rtl w:val="0"/>
        </w:rPr>
        <w:t xml:space="preserve">:</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z w:val="20"/>
          <w:szCs w:val="20"/>
          <w:rtl w:val="0"/>
        </w:rPr>
        <w:t xml:space="preserve">Billing Overage Residual (Billing_Overage_Residual = (MonthlyCharges * tenure) - TotalCharges)</w:t>
      </w:r>
      <w:r w:rsidDel="00000000" w:rsidR="00000000" w:rsidRPr="00000000">
        <w:rPr>
          <w:sz w:val="20"/>
          <w:szCs w:val="20"/>
          <w:rtl w:val="0"/>
        </w:rPr>
        <w:t xml:space="preserve">: Decouples cumulative billing from tenure. A positive residual indicates that current monthly charges multiplied by tenure exceed historical cumulative bills—capturing recent price hikes or expired promotional discounts (e.g., Customer 5575-GNVDE at tenure = 34 has +</w:t>
      </w:r>
      <m:oMath>
        <m:r>
          <w:rPr>
            <w:sz w:val="20"/>
            <w:szCs w:val="20"/>
          </w:rPr>
          <m:t xml:space="preserve">46.80,whereasCustomer9237-HQITUwhochurnedattenure=2has-</m:t>
        </m:r>
      </m:oMath>
      <w:r w:rsidDel="00000000" w:rsidR="00000000" w:rsidRPr="00000000">
        <w:rPr>
          <w:sz w:val="20"/>
          <w:szCs w:val="20"/>
          <w:rtl w:val="0"/>
        </w:rPr>
        <w:t xml:space="preserve">10.25).</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z w:val="20"/>
          <w:szCs w:val="20"/>
          <w:rtl w:val="0"/>
        </w:rPr>
        <w:t xml:space="preserve">Realized-to-Quoted Monthly Ratio (Realized_Monthly_Ratio = TotalCharges / (tenure * MonthlyCharges + 1e-5) for tenure &gt; 0, else 1.0)</w:t>
      </w:r>
      <w:r w:rsidDel="00000000" w:rsidR="00000000" w:rsidRPr="00000000">
        <w:rPr>
          <w:sz w:val="20"/>
          <w:szCs w:val="20"/>
          <w:rtl w:val="0"/>
        </w:rPr>
        <w:t xml:space="preserve">: Measures historical billing realization relative to current quoted tariff without tenure confounding.</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z w:val="20"/>
          <w:szCs w:val="20"/>
          <w:rtl w:val="0"/>
        </w:rPr>
        <w:t xml:space="preserve">Protection vs. Streaming Decomposition (Protection_AddOn_Count and Protection_to_Streaming_Ratio)</w:t>
      </w:r>
      <w:r w:rsidDel="00000000" w:rsidR="00000000" w:rsidRPr="00000000">
        <w:rPr>
          <w:sz w:val="20"/>
          <w:szCs w:val="20"/>
          <w:rtl w:val="0"/>
        </w:rPr>
        <w:t xml:space="preserve">: Summing all subscribed services into a single counter (Total_Active_Services, as done in </w:t>
      </w:r>
      <w:hyperlink r:id="rId39">
        <w:r w:rsidDel="00000000" w:rsidR="00000000" w:rsidRPr="00000000">
          <w:rPr>
            <w:color w:val="0284c7"/>
            <w:sz w:val="20"/>
            <w:szCs w:val="20"/>
            <w:u w:val="single"/>
            <w:rtl w:val="0"/>
          </w:rPr>
          <w:t xml:space="preserve">Kats, 2019</w:t>
        </w:r>
      </w:hyperlink>
      <w:r w:rsidDel="00000000" w:rsidR="00000000" w:rsidRPr="00000000">
        <w:rPr>
          <w:sz w:val="20"/>
          <w:szCs w:val="20"/>
          <w:rtl w:val="0"/>
        </w:rPr>
        <w:t xml:space="preserve">) yields a weak correlation with churn (|r| = 0.088) because technical protection add-ons (OnlineSecurity, OnlineBackup, DeviceProtection, TechSupport) reduce internet subscriber churn monotonically from </w:t>
      </w:r>
      <w:r w:rsidDel="00000000" w:rsidR="00000000" w:rsidRPr="00000000">
        <w:rPr>
          <w:b w:val="1"/>
          <w:bCs w:val="1"/>
          <w:sz w:val="20"/>
          <w:szCs w:val="20"/>
          <w:rtl w:val="0"/>
        </w:rPr>
        <w:t xml:space="preserve">41.8% (0 add-ons)</w:t>
      </w:r>
      <w:r w:rsidDel="00000000" w:rsidR="00000000" w:rsidRPr="00000000">
        <w:rPr>
          <w:sz w:val="20"/>
          <w:szCs w:val="20"/>
          <w:rtl w:val="0"/>
        </w:rPr>
        <w:t xml:space="preserve"> to </w:t>
      </w:r>
      <w:r w:rsidDel="00000000" w:rsidR="00000000" w:rsidRPr="00000000">
        <w:rPr>
          <w:b w:val="1"/>
          <w:bCs w:val="1"/>
          <w:sz w:val="20"/>
          <w:szCs w:val="20"/>
          <w:rtl w:val="0"/>
        </w:rPr>
        <w:t xml:space="preserve">8.2% (4 add-ons)</w:t>
      </w:r>
      <w:r w:rsidDel="00000000" w:rsidR="00000000" w:rsidRPr="00000000">
        <w:rPr>
          <w:sz w:val="20"/>
          <w:szCs w:val="20"/>
          <w:rtl w:val="0"/>
        </w:rPr>
        <w:t xml:space="preserve"> (r = -0.264, F = 531.8), whereas entertainment streaming add-ons (StreamingTV, StreamingMovies) inflate monthly bills without technical lock-in, causing churn in streaming-heavy bundles to spike to </w:t>
      </w:r>
      <w:r w:rsidDel="00000000" w:rsidR="00000000" w:rsidRPr="00000000">
        <w:rPr>
          <w:b w:val="1"/>
          <w:bCs w:val="1"/>
          <w:sz w:val="20"/>
          <w:szCs w:val="20"/>
          <w:rtl w:val="0"/>
        </w:rPr>
        <w:t xml:space="preserve">46.8%</w:t>
      </w:r>
      <w:r w:rsidDel="00000000" w:rsidR="00000000" w:rsidRPr="00000000">
        <w:rPr>
          <w:sz w:val="20"/>
          <w:szCs w:val="20"/>
          <w:rtl w:val="0"/>
        </w:rPr>
        <w:t xml:space="preserve">. Our ratio (Protection_AddOn_Count + 1) / (Streaming_AddOn_Count + 1) achieves </w:t>
      </w:r>
      <w:r w:rsidDel="00000000" w:rsidR="00000000" w:rsidRPr="00000000">
        <w:rPr>
          <w:b w:val="1"/>
          <w:bCs w:val="1"/>
          <w:sz w:val="20"/>
          <w:szCs w:val="20"/>
          <w:rtl w:val="0"/>
        </w:rPr>
        <w:t xml:space="preserve">|r| = 0.318 (ANOVA F = 798.5)</w:t>
      </w:r>
      <w:r w:rsidDel="00000000" w:rsidR="00000000" w:rsidRPr="00000000">
        <w:rPr>
          <w:sz w:val="20"/>
          <w:szCs w:val="20"/>
          <w:rtl w:val="0"/>
        </w:rPr>
        <w:t xml:space="preserve">.</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z w:val="20"/>
          <w:szCs w:val="20"/>
          <w:rtl w:val="0"/>
        </w:rPr>
        <w:t xml:space="preserve">Average Price Per Active Service (Avg_Price_Per_Service = MonthlyCharges / max(Total_Active_Services, 1))</w:t>
      </w:r>
      <w:r w:rsidDel="00000000" w:rsidR="00000000" w:rsidRPr="00000000">
        <w:rPr>
          <w:sz w:val="20"/>
          <w:szCs w:val="20"/>
          <w:rtl w:val="0"/>
        </w:rPr>
        <w:t xml:space="preserve">: Ranges from $6.04/service (bundled DSL) to $70.70/service (unbundled Fiber optic), achieving </w:t>
      </w:r>
      <w:r w:rsidDel="00000000" w:rsidR="00000000" w:rsidRPr="00000000">
        <w:rPr>
          <w:b w:val="1"/>
          <w:bCs w:val="1"/>
          <w:sz w:val="20"/>
          <w:szCs w:val="20"/>
          <w:rtl w:val="0"/>
        </w:rPr>
        <w:t xml:space="preserve">r = +0.276 (F = 584.2)</w:t>
      </w:r>
      <w:r w:rsidDel="00000000" w:rsidR="00000000" w:rsidRPr="00000000">
        <w:rPr>
          <w:sz w:val="20"/>
          <w:szCs w:val="20"/>
          <w:rtl w:val="0"/>
        </w:rPr>
        <w:t xml:space="preserve">—a </w:t>
      </w:r>
      <w:r w:rsidDel="00000000" w:rsidR="00000000" w:rsidRPr="00000000">
        <w:rPr>
          <w:b w:val="1"/>
          <w:bCs w:val="1"/>
          <w:sz w:val="20"/>
          <w:szCs w:val="20"/>
          <w:rtl w:val="0"/>
        </w:rPr>
        <w:t xml:space="preserve">+43.0% increase in linear correlation</w:t>
      </w:r>
      <w:r w:rsidDel="00000000" w:rsidR="00000000" w:rsidRPr="00000000">
        <w:rPr>
          <w:sz w:val="20"/>
          <w:szCs w:val="20"/>
          <w:rtl w:val="0"/>
        </w:rPr>
        <w:t xml:space="preserve"> over raw MonthlyCharges (r = +0.193).</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z w:val="20"/>
          <w:szCs w:val="20"/>
          <w:rtl w:val="0"/>
        </w:rPr>
        <w:t xml:space="preserve">Contract-Tenure Stability Index (Contract_Tenure_Stability = tenure * Contract_Years_Normalized)</w:t>
      </w:r>
      <w:r w:rsidDel="00000000" w:rsidR="00000000" w:rsidRPr="00000000">
        <w:rPr>
          <w:sz w:val="20"/>
          <w:szCs w:val="20"/>
          <w:rtl w:val="0"/>
        </w:rPr>
        <w:t xml:space="preserve">: Maps contracts to annual units (Month-to-month: 0.0833, One year: 1.0, Two year: 2.0 per </w:t>
      </w:r>
      <w:hyperlink r:id="rId40">
        <w:r w:rsidDel="00000000" w:rsidR="00000000" w:rsidRPr="00000000">
          <w:rPr>
            <w:color w:val="0284c7"/>
            <w:sz w:val="20"/>
            <w:szCs w:val="20"/>
            <w:u w:val="single"/>
            <w:rtl w:val="0"/>
          </w:rPr>
          <w:t xml:space="preserve">Chen et al., 2025</w:t>
        </w:r>
      </w:hyperlink>
      <w:r w:rsidDel="00000000" w:rsidR="00000000" w:rsidRPr="00000000">
        <w:rPr>
          <w:sz w:val="20"/>
          <w:szCs w:val="20"/>
          <w:rtl w:val="0"/>
        </w:rPr>
        <w:t xml:space="preserve">) and interacts with tenure, achieving the highest continuous predictive signal in the dataset (</w:t>
      </w:r>
      <w:r w:rsidDel="00000000" w:rsidR="00000000" w:rsidRPr="00000000">
        <w:rPr>
          <w:b w:val="1"/>
          <w:bCs w:val="1"/>
          <w:sz w:val="20"/>
          <w:szCs w:val="20"/>
          <w:rtl w:val="0"/>
        </w:rPr>
        <w:t xml:space="preserve">r = -0.412, F = 1,442.7</w:t>
      </w:r>
      <w:r w:rsidDel="00000000" w:rsidR="00000000" w:rsidRPr="00000000">
        <w:rPr>
          <w:sz w:val="20"/>
          <w:szCs w:val="20"/>
          <w:rtl w:val="0"/>
        </w:rPr>
        <w:t xml:space="preserve">).</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z w:val="20"/>
          <w:szCs w:val="20"/>
          <w:rtl w:val="0"/>
        </w:rPr>
        <w:t xml:space="preserve">Early-Lifecycle Onboarding Flag (tenure &lt;= 5) &amp; Triple-Vulnerability Segment (High_Risk_Fiber_ElecCheck)</w:t>
      </w:r>
      <w:r w:rsidDel="00000000" w:rsidR="00000000" w:rsidRPr="00000000">
        <w:rPr>
          <w:sz w:val="20"/>
          <w:szCs w:val="20"/>
          <w:rtl w:val="0"/>
        </w:rPr>
        <w:t xml:space="preserve">: Isolates the 0–5 month onboarding danger zone (1,370 accounts, r = +0.329) and the intersection of Fiber optic + Electronic check + Month-to-month (1,314 accounts, </w:t>
      </w:r>
      <w:r w:rsidDel="00000000" w:rsidR="00000000" w:rsidRPr="00000000">
        <w:rPr>
          <w:b w:val="1"/>
          <w:bCs w:val="1"/>
          <w:sz w:val="20"/>
          <w:szCs w:val="20"/>
          <w:rtl w:val="0"/>
        </w:rPr>
        <w:t xml:space="preserve">60.3% empirical churn rate</w:t>
      </w:r>
      <w:r w:rsidDel="00000000" w:rsidR="00000000" w:rsidRPr="00000000">
        <w:rPr>
          <w:sz w:val="20"/>
          <w:szCs w:val="20"/>
          <w:rtl w:val="0"/>
        </w:rPr>
        <w:t xml:space="preserve">, r = +0.368).</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Variance Inflation Factor (VIF) Multicollinearity Audit and Orthogonalization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00" w:lineRule="auto"/>
        <w:rPr>
          <w:sz w:val="20"/>
          <w:szCs w:val="20"/>
        </w:rPr>
      </w:pPr>
      <w:r w:rsidDel="00000000" w:rsidR="00000000" w:rsidRPr="00000000">
        <w:rPr>
          <w:sz w:val="20"/>
          <w:szCs w:val="20"/>
          <w:rtl w:val="0"/>
        </w:rPr>
        <w:t xml:space="preserve">Exact correlation matrix inversion on (tenure, MonthlyCharges, TotalCharges) (</w:t>
      </w:r>
      <w:hyperlink r:id="rId41">
        <w:r w:rsidDel="00000000" w:rsidR="00000000" w:rsidRPr="00000000">
          <w:rPr>
            <w:color w:val="0284c7"/>
            <w:sz w:val="20"/>
            <w:szCs w:val="20"/>
            <w:u w:val="single"/>
            <w:rtl w:val="0"/>
          </w:rPr>
          <w:t xml:space="preserve">Patel, 2021</w:t>
        </w:r>
      </w:hyperlink>
      <w:r w:rsidDel="00000000" w:rsidR="00000000" w:rsidRPr="00000000">
        <w:rPr>
          <w:sz w:val="20"/>
          <w:szCs w:val="20"/>
          <w:rtl w:val="0"/>
        </w:rPr>
        <w:t xml:space="preserve">) confirms corr(tenure, TotalCharges) = 0.825880, corr(MonthlyCharges, TotalCharges) = 0.651065, and corr(tenure, MonthlyCharges) = 0.246862, yielding </w:t>
      </w:r>
      <w:r w:rsidDel="00000000" w:rsidR="00000000" w:rsidRPr="00000000">
        <w:rPr>
          <w:b w:val="1"/>
          <w:bCs w:val="1"/>
          <w:sz w:val="20"/>
          <w:szCs w:val="20"/>
          <w:rtl w:val="0"/>
        </w:rPr>
        <w:t xml:space="preserve">R^2 = 0.8950</w:t>
      </w:r>
      <w:r w:rsidDel="00000000" w:rsidR="00000000" w:rsidRPr="00000000">
        <w:rPr>
          <w:sz w:val="20"/>
          <w:szCs w:val="20"/>
          <w:rtl w:val="0"/>
        </w:rPr>
        <w:t xml:space="preserve"> and </w:t>
      </w:r>
      <w:r w:rsidDel="00000000" w:rsidR="00000000" w:rsidRPr="00000000">
        <w:rPr>
          <w:b w:val="1"/>
          <w:bCs w:val="1"/>
          <w:sz w:val="20"/>
          <w:szCs w:val="20"/>
          <w:rtl w:val="0"/>
        </w:rPr>
        <w:t xml:space="preserve">VIF = 9.5266</w:t>
      </w:r>
      <w:r w:rsidDel="00000000" w:rsidR="00000000" w:rsidRPr="00000000">
        <w:rPr>
          <w:sz w:val="20"/>
          <w:szCs w:val="20"/>
          <w:rtl w:val="0"/>
        </w:rPr>
        <w:t xml:space="preserve"> for TotalCharges. Rather than deleting TotalCharges (</w:t>
      </w:r>
      <w:hyperlink r:id="rId42">
        <w:r w:rsidDel="00000000" w:rsidR="00000000" w:rsidRPr="00000000">
          <w:rPr>
            <w:color w:val="0284c7"/>
            <w:sz w:val="20"/>
            <w:szCs w:val="20"/>
            <w:u w:val="single"/>
            <w:rtl w:val="0"/>
          </w:rPr>
          <w:t xml:space="preserve">Sintiakn, 2024</w:t>
        </w:r>
      </w:hyperlink>
      <w:r w:rsidDel="00000000" w:rsidR="00000000" w:rsidRPr="00000000">
        <w:rPr>
          <w:sz w:val="20"/>
          <w:szCs w:val="20"/>
          <w:rtl w:val="0"/>
        </w:rPr>
        <w:t xml:space="preserve">), replacing it with Billing_Overage_Residual collapses all continuous VIFs below 2.35:</w:t>
      </w:r>
    </w:p>
    <w:tbl>
      <w:tblPr>
        <w:tblStyle w:val="Table4"/>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94a3b8" w:space="0" w:sz="6" w:val="single"/>
              <w:left w:color="94a3b8" w:space="0" w:sz="6" w:val="single"/>
              <w:bottom w:color="94a3b8" w:space="0" w:sz="6" w:val="single"/>
              <w:right w:color="94a3b8" w:space="0" w:sz="6" w:val="single"/>
            </w:tcBorders>
            <w:shd w:fill="1e3a8a" w:val="clear"/>
            <w:tcMar>
              <w:top w:w="120.0" w:type="dxa"/>
              <w:left w:w="160.0" w:type="dxa"/>
              <w:bottom w:w="120.0" w:type="dxa"/>
              <w:right w:w="16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Feature / Feature Block</w:t>
            </w:r>
          </w:p>
        </w:tc>
        <w:tc>
          <w:tcPr>
            <w:tcBorders>
              <w:top w:color="94a3b8" w:space="0" w:sz="6" w:val="single"/>
              <w:left w:color="94a3b8" w:space="0" w:sz="6" w:val="single"/>
              <w:bottom w:color="94a3b8" w:space="0" w:sz="6" w:val="single"/>
              <w:right w:color="94a3b8" w:space="0" w:sz="6" w:val="single"/>
            </w:tcBorders>
            <w:shd w:fill="1e3a8a" w:val="clear"/>
            <w:tcMar>
              <w:top w:w="120.0" w:type="dxa"/>
              <w:left w:w="160.0" w:type="dxa"/>
              <w:bottom w:w="120.0" w:type="dxa"/>
              <w:right w:w="16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Mathematical Representation</w:t>
            </w:r>
          </w:p>
        </w:tc>
        <w:tc>
          <w:tcPr>
            <w:tcBorders>
              <w:top w:color="94a3b8" w:space="0" w:sz="6" w:val="single"/>
              <w:left w:color="94a3b8" w:space="0" w:sz="6" w:val="single"/>
              <w:bottom w:color="94a3b8" w:space="0" w:sz="6" w:val="single"/>
              <w:right w:color="94a3b8" w:space="0" w:sz="6" w:val="single"/>
            </w:tcBorders>
            <w:shd w:fill="1e3a8a" w:val="clear"/>
            <w:tcMar>
              <w:top w:w="120.0" w:type="dxa"/>
              <w:left w:w="160.0" w:type="dxa"/>
              <w:bottom w:w="120.0" w:type="dxa"/>
              <w:right w:w="16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VIF Before Step 2</w:t>
            </w:r>
          </w:p>
        </w:tc>
        <w:tc>
          <w:tcPr>
            <w:tcBorders>
              <w:top w:color="94a3b8" w:space="0" w:sz="6" w:val="single"/>
              <w:left w:color="94a3b8" w:space="0" w:sz="6" w:val="single"/>
              <w:bottom w:color="94a3b8" w:space="0" w:sz="6" w:val="single"/>
              <w:right w:color="94a3b8" w:space="0" w:sz="6" w:val="single"/>
            </w:tcBorders>
            <w:shd w:fill="1e3a8a" w:val="clear"/>
            <w:tcMar>
              <w:top w:w="120.0" w:type="dxa"/>
              <w:left w:w="160.0" w:type="dxa"/>
              <w:bottom w:w="120.0" w:type="dxa"/>
              <w:right w:w="16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VIF After Step 2</w:t>
            </w:r>
          </w:p>
        </w:tc>
        <w:tc>
          <w:tcPr>
            <w:tcBorders>
              <w:top w:color="94a3b8" w:space="0" w:sz="6" w:val="single"/>
              <w:left w:color="94a3b8" w:space="0" w:sz="6" w:val="single"/>
              <w:bottom w:color="94a3b8" w:space="0" w:sz="6" w:val="single"/>
              <w:right w:color="94a3b8" w:space="0" w:sz="6" w:val="single"/>
            </w:tcBorders>
            <w:shd w:fill="1e3a8a" w:val="clear"/>
            <w:tcMar>
              <w:top w:w="120.0" w:type="dxa"/>
              <w:left w:w="160.0" w:type="dxa"/>
              <w:bottom w:w="120.0" w:type="dxa"/>
              <w:right w:w="16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Correlation r (ANOVA F)</w:t>
            </w:r>
          </w:p>
        </w:tc>
        <w:tc>
          <w:tcPr>
            <w:tcBorders>
              <w:top w:color="94a3b8" w:space="0" w:sz="6" w:val="single"/>
              <w:left w:color="94a3b8" w:space="0" w:sz="6" w:val="single"/>
              <w:bottom w:color="94a3b8" w:space="0" w:sz="6" w:val="single"/>
              <w:right w:color="94a3b8" w:space="0" w:sz="6" w:val="single"/>
            </w:tcBorders>
            <w:shd w:fill="1e3a8a" w:val="clear"/>
            <w:tcMar>
              <w:top w:w="120.0" w:type="dxa"/>
              <w:left w:w="160.0" w:type="dxa"/>
              <w:bottom w:w="120.0" w:type="dxa"/>
              <w:right w:w="16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Multicollinearity Verdict</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Redundant Add-On Dummies (7 Cols)</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'No internet service' (6x) &amp; 'No phone service' (1x)</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Infinity (Singular)</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Dropped (1.00)</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Collinear with InternetService_No</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Eliminated exact linear dependency.</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Cumulative Billing Trajectory</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Raw TotalCharges vs. Billing_Overage_Residual</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b w:val="1"/>
                <w:bCs w:val="1"/>
                <w:sz w:val="18"/>
                <w:szCs w:val="18"/>
                <w:vertAlign w:val="baseline"/>
                <w:rtl w:val="0"/>
              </w:rPr>
              <w:t xml:space="preserve">9.53</w:t>
            </w:r>
            <w:r w:rsidDel="00000000" w:rsidR="00000000" w:rsidRPr="00000000">
              <w:rPr>
                <w:sz w:val="18"/>
                <w:szCs w:val="18"/>
                <w:vertAlign w:val="baseline"/>
                <w:rtl w:val="0"/>
              </w:rPr>
              <w:t xml:space="preserve"> (R^2 = 0.895)</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1.08</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+0.118 (F = 48.6 non-linear)</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Preserves price-hike signal; cuts VIF by 88.7%.</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Account Longevity (tenure)</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(tenure - 32.371) / 24.559 (fit on X_train)</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b w:val="1"/>
                <w:bCs w:val="1"/>
                <w:sz w:val="18"/>
                <w:szCs w:val="18"/>
                <w:vertAlign w:val="baseline"/>
                <w:rtl w:val="0"/>
              </w:rPr>
              <w:t xml:space="preserve">5.84</w:t>
            </w:r>
            <w:r w:rsidDel="00000000" w:rsidR="00000000" w:rsidRPr="00000000">
              <w:rPr>
                <w:sz w:val="18"/>
                <w:szCs w:val="18"/>
                <w:vertAlign w:val="baseline"/>
                <w:rtl w:val="0"/>
              </w:rPr>
              <w:t xml:space="preserve"> (Uncentered 6.33)</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1.18</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-0.352 (F = 997.3)</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De-confounded from cumulative billing (&lt; 5.0).</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Monthly Tariff (MonthlyCharges)</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(MonthlyCharges - 64.762) / 30.090 (fit on X_train)</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b w:val="1"/>
                <w:bCs w:val="1"/>
                <w:sz w:val="18"/>
                <w:szCs w:val="18"/>
                <w:vertAlign w:val="baseline"/>
                <w:rtl w:val="0"/>
              </w:rPr>
              <w:t xml:space="preserve">3.23</w:t>
            </w:r>
            <w:r w:rsidDel="00000000" w:rsidR="00000000" w:rsidRPr="00000000">
              <w:rPr>
                <w:sz w:val="18"/>
                <w:szCs w:val="18"/>
                <w:vertAlign w:val="baseline"/>
                <w:rtl w:val="0"/>
              </w:rPr>
              <w:t xml:space="preserve"> (Uncentered 3.36)</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1.14</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+0.193 (F = 273.5)</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Orthogonalized against longevity and overages.</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Unit Service Cost (Avg_Price_Per_Service)</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MonthlyCharges / max(Total_Active_Services, 1)</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3.23</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1.94</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+0.276 (F = 584.2)</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+43.0% stronger correlation than raw tariff.</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Protection vs. Streaming Ratio</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(Protection_AddOn_Count + 1) / (Streaming + 1)</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2.45</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1.58</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-0.318 (F = 798.5)</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Resolves non-monotonic service sum confounding.</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Contract-Tenure Stability Index</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tenure * Contract_Years_Normalized</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5.84</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2.34</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-0.412 (F = 1,442.7)</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Strongest continuous predictor in matrix.</w:t>
            </w:r>
          </w:p>
        </w:tc>
      </w:tr>
    </w:tbl>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260" w:lineRule="auto"/>
        <w:rPr/>
      </w:pPr>
      <w:r w:rsidDel="00000000" w:rsidR="00000000" w:rsidRPr="00000000">
        <w:rPr>
          <w:rtl w:val="0"/>
        </w:rPr>
        <w:t xml:space="preserve">Technical Challenges Encountered and Engineering Resolutions (Steps 1 &amp; 2)</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5"/>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4a3b8" w:space="0" w:sz="6" w:val="single"/>
              <w:left w:color="94a3b8" w:space="0" w:sz="6" w:val="single"/>
              <w:bottom w:color="94a3b8" w:space="0" w:sz="6" w:val="single"/>
              <w:right w:color="94a3b8" w:space="0" w:sz="6" w:val="single"/>
            </w:tcBorders>
            <w:shd w:fill="1e3a8a" w:val="clear"/>
            <w:tcMar>
              <w:top w:w="120.0" w:type="dxa"/>
              <w:left w:w="160.0" w:type="dxa"/>
              <w:bottom w:w="120.0" w:type="dxa"/>
              <w:right w:w="16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Challenge ID</w:t>
            </w:r>
          </w:p>
        </w:tc>
        <w:tc>
          <w:tcPr>
            <w:tcBorders>
              <w:top w:color="94a3b8" w:space="0" w:sz="6" w:val="single"/>
              <w:left w:color="94a3b8" w:space="0" w:sz="6" w:val="single"/>
              <w:bottom w:color="94a3b8" w:space="0" w:sz="6" w:val="single"/>
              <w:right w:color="94a3b8" w:space="0" w:sz="6" w:val="single"/>
            </w:tcBorders>
            <w:shd w:fill="1e3a8a" w:val="clear"/>
            <w:tcMar>
              <w:top w:w="120.0" w:type="dxa"/>
              <w:left w:w="160.0" w:type="dxa"/>
              <w:bottom w:w="120.0" w:type="dxa"/>
              <w:right w:w="16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Step</w:t>
            </w:r>
          </w:p>
        </w:tc>
        <w:tc>
          <w:tcPr>
            <w:tcBorders>
              <w:top w:color="94a3b8" w:space="0" w:sz="6" w:val="single"/>
              <w:left w:color="94a3b8" w:space="0" w:sz="6" w:val="single"/>
              <w:bottom w:color="94a3b8" w:space="0" w:sz="6" w:val="single"/>
              <w:right w:color="94a3b8" w:space="0" w:sz="6" w:val="single"/>
            </w:tcBorders>
            <w:shd w:fill="1e3a8a" w:val="clear"/>
            <w:tcMar>
              <w:top w:w="120.0" w:type="dxa"/>
              <w:left w:w="160.0" w:type="dxa"/>
              <w:bottom w:w="120.0" w:type="dxa"/>
              <w:right w:w="16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Technical or Methodological Challenge Faced</w:t>
            </w:r>
          </w:p>
        </w:tc>
        <w:tc>
          <w:tcPr>
            <w:tcBorders>
              <w:top w:color="94a3b8" w:space="0" w:sz="6" w:val="single"/>
              <w:left w:color="94a3b8" w:space="0" w:sz="6" w:val="single"/>
              <w:bottom w:color="94a3b8" w:space="0" w:sz="6" w:val="single"/>
              <w:right w:color="94a3b8" w:space="0" w:sz="6" w:val="single"/>
            </w:tcBorders>
            <w:shd w:fill="1e3a8a" w:val="clear"/>
            <w:tcMar>
              <w:top w:w="120.0" w:type="dxa"/>
              <w:left w:w="160.0" w:type="dxa"/>
              <w:bottom w:w="120.0" w:type="dxa"/>
              <w:right w:w="16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Root Cause Diagnosed</w:t>
            </w:r>
          </w:p>
        </w:tc>
        <w:tc>
          <w:tcPr>
            <w:tcBorders>
              <w:top w:color="94a3b8" w:space="0" w:sz="6" w:val="single"/>
              <w:left w:color="94a3b8" w:space="0" w:sz="6" w:val="single"/>
              <w:bottom w:color="94a3b8" w:space="0" w:sz="6" w:val="single"/>
              <w:right w:color="94a3b8" w:space="0" w:sz="6" w:val="single"/>
            </w:tcBorders>
            <w:shd w:fill="1e3a8a" w:val="clear"/>
            <w:tcMar>
              <w:top w:w="120.0" w:type="dxa"/>
              <w:left w:w="160.0" w:type="dxa"/>
              <w:bottom w:w="120.0" w:type="dxa"/>
              <w:right w:w="16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Rule="auto"/>
              <w:rPr>
                <w:b w:val="1"/>
                <w:bCs w:val="1"/>
                <w:color w:val="ffffff"/>
                <w:sz w:val="18"/>
                <w:szCs w:val="18"/>
                <w:shd w:fill="auto" w:val="clear"/>
              </w:rPr>
            </w:pPr>
            <w:r w:rsidDel="00000000" w:rsidR="00000000" w:rsidRPr="00000000">
              <w:rPr>
                <w:b w:val="1"/>
                <w:bCs w:val="1"/>
                <w:color w:val="ffffff"/>
                <w:sz w:val="18"/>
                <w:szCs w:val="18"/>
                <w:shd w:fill="auto" w:val="clear"/>
                <w:rtl w:val="0"/>
              </w:rPr>
              <w:t xml:space="preserve">Data Science Resolution Implemented</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C1.1</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Step 1</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Silent String Coercion in TotalCharges</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isna().sum() reports 0 nulls because 11 rows contain ASCII space ' '.</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Isolated indices [488, ..., 6754], proved all 11 have tenure = 0 &amp; Churn = No, and imputed exact domain value $0.00 (</w:t>
            </w:r>
            <w:hyperlink r:id="rId43">
              <w:r w:rsidDel="00000000" w:rsidR="00000000" w:rsidRPr="00000000">
                <w:rPr>
                  <w:color w:val="0284c7"/>
                  <w:sz w:val="18"/>
                  <w:szCs w:val="18"/>
                  <w:u w:val="single"/>
                  <w:vertAlign w:val="baseline"/>
                  <w:rtl w:val="0"/>
                </w:rPr>
                <w:t xml:space="preserve">Audit Sheet</w:t>
              </w:r>
            </w:hyperlink>
            <w:r w:rsidDel="00000000" w:rsidR="00000000" w:rsidRPr="00000000">
              <w:rPr>
                <w:sz w:val="18"/>
                <w:szCs w:val="18"/>
                <w:vertAlign w:val="baseline"/>
                <w:rtl w:val="0"/>
              </w:rPr>
              <w:t xml:space="preserve">).</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C1.2</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Step 1</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Simpson's Paradox in TotalCharges</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TotalCharges correlates negatively with churn (r = -0.199) while MonthlyCharges correlates positively (r = +0.193).</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Proved multiplicative confounding with tenure (r = 0.8259) and designed Step 2 billing residual features.</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C2.1</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Step 2</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Pre-Split Resampling &amp; Scaling Leakage</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Published notebooks (</w:t>
            </w:r>
            <w:hyperlink r:id="rId44">
              <w:r w:rsidDel="00000000" w:rsidR="00000000" w:rsidRPr="00000000">
                <w:rPr>
                  <w:color w:val="0284c7"/>
                  <w:sz w:val="18"/>
                  <w:szCs w:val="18"/>
                  <w:u w:val="single"/>
                  <w:vertAlign w:val="baseline"/>
                  <w:rtl w:val="0"/>
                </w:rPr>
                <w:t xml:space="preserve">Patel, 2021</w:t>
              </w:r>
            </w:hyperlink>
            <w:r w:rsidDel="00000000" w:rsidR="00000000" w:rsidRPr="00000000">
              <w:rPr>
                <w:sz w:val="18"/>
                <w:szCs w:val="18"/>
                <w:vertAlign w:val="baseline"/>
                <w:rtl w:val="0"/>
              </w:rPr>
              <w:t xml:space="preserve">; </w:t>
            </w:r>
            <w:hyperlink r:id="rId45">
              <w:r w:rsidDel="00000000" w:rsidR="00000000" w:rsidRPr="00000000">
                <w:rPr>
                  <w:color w:val="0284c7"/>
                  <w:sz w:val="18"/>
                  <w:szCs w:val="18"/>
                  <w:u w:val="single"/>
                  <w:vertAlign w:val="baseline"/>
                  <w:rtl w:val="0"/>
                </w:rPr>
                <w:t xml:space="preserve">Kats, 2019</w:t>
              </w:r>
            </w:hyperlink>
            <w:r w:rsidDel="00000000" w:rsidR="00000000" w:rsidRPr="00000000">
              <w:rPr>
                <w:sz w:val="18"/>
                <w:szCs w:val="18"/>
                <w:vertAlign w:val="baseline"/>
                <w:rtl w:val="0"/>
              </w:rPr>
              <w:t xml:space="preserve">) apply SMOTE or downsampling before splitting, inflating precision by +18.2 to +24.8 pp.</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Enforced a strict 80/20 stratified split (n_train = 5,634, n_test = 1,409) prior to fitting StandardScaler or resamplers.</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C2.2</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Step 2</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Information Loss from Dropping High-VIF TotalCharges</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Standard VIF pipelines (</w:t>
            </w:r>
            <w:hyperlink r:id="rId46">
              <w:r w:rsidDel="00000000" w:rsidR="00000000" w:rsidRPr="00000000">
                <w:rPr>
                  <w:color w:val="0284c7"/>
                  <w:sz w:val="18"/>
                  <w:szCs w:val="18"/>
                  <w:u w:val="single"/>
                  <w:vertAlign w:val="baseline"/>
                  <w:rtl w:val="0"/>
                </w:rPr>
                <w:t xml:space="preserve">Sintiakn, 2024</w:t>
              </w:r>
            </w:hyperlink>
            <w:r w:rsidDel="00000000" w:rsidR="00000000" w:rsidRPr="00000000">
              <w:rPr>
                <w:sz w:val="18"/>
                <w:szCs w:val="18"/>
                <w:vertAlign w:val="baseline"/>
                <w:rtl w:val="0"/>
              </w:rPr>
              <w:t xml:space="preserve">) delete TotalCharges (VIF = 9.53), losing historical discount/overage trajectory.</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Replaced raw TotalCharges with Billing_Overage_Residual (VIF = 1.08) and Realized_Monthly_Ratio (VIF = 1.06).</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C2.3</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Step 2</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Non-Monotonicity of Naive Total_Active_Services Sum</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Entertainment streaming add-ons (~30% churn) oppose technical protection add-ons (~15% churn), canceling linear signal (|r| = 0.088).</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Decomposed add-ons into Protection_AddOn_Count (r = -0.264) and Protection_to_Streaming_Ratio (r = -0.318).</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C2.4</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Step 2</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00" w:before="100" w:lineRule="auto"/>
              <w:rPr>
                <w:b w:val="1"/>
                <w:bCs w:val="1"/>
                <w:sz w:val="18"/>
                <w:szCs w:val="18"/>
                <w:vertAlign w:val="baseline"/>
              </w:rPr>
            </w:pPr>
            <w:r w:rsidDel="00000000" w:rsidR="00000000" w:rsidRPr="00000000">
              <w:rPr>
                <w:b w:val="1"/>
                <w:bCs w:val="1"/>
                <w:sz w:val="18"/>
                <w:szCs w:val="18"/>
                <w:vertAlign w:val="baseline"/>
                <w:rtl w:val="0"/>
              </w:rPr>
              <w:t xml:space="preserve">Division-by-Zero Singularity on tenure = 0 Accounts</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TotalCharges / (tenure * MonthlyCharges) produces 0/0 = NaN for the 11 new-signup rows.</w:t>
            </w:r>
          </w:p>
        </w:tc>
        <w:tc>
          <w:tcPr>
            <w:tcBorders>
              <w:top w:color="cbd5e1" w:space="0" w:sz="6" w:val="single"/>
              <w:left w:color="cbd5e1" w:space="0" w:sz="6" w:val="single"/>
              <w:bottom w:color="cbd5e1" w:space="0" w:sz="6" w:val="single"/>
              <w:right w:color="cbd5e1" w:space="0" w:sz="6" w:val="single"/>
            </w:tcBorders>
            <w:shd w:fill="auto" w:val="clear"/>
            <w:tcMar>
              <w:top w:w="100.0" w:type="dxa"/>
              <w:left w:w="160.0" w:type="dxa"/>
              <w:bottom w:w="100.0" w:type="dxa"/>
              <w:right w:w="16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00" w:before="100" w:lineRule="auto"/>
              <w:rPr>
                <w:sz w:val="18"/>
                <w:szCs w:val="18"/>
                <w:vertAlign w:val="baseline"/>
              </w:rPr>
            </w:pPr>
            <w:r w:rsidDel="00000000" w:rsidR="00000000" w:rsidRPr="00000000">
              <w:rPr>
                <w:sz w:val="18"/>
                <w:szCs w:val="18"/>
                <w:vertAlign w:val="baseline"/>
                <w:rtl w:val="0"/>
              </w:rPr>
              <w:t xml:space="preserve">Guarded ratio calculation with np.where(tenure &gt; 0, ..., 1.0) across all 7,043 accounts.</w:t>
            </w:r>
          </w:p>
        </w:tc>
      </w:tr>
    </w:tbl>
    <w:p w:rsidR="00000000" w:rsidDel="00000000" w:rsidP="00000000" w:rsidRDefault="00000000" w:rsidRPr="00000000" w14:paraId="000000D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References and Project Artifacts</w:t>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pict>
          <v:rect style="width:0.0pt;height:1.5pt" o:hr="t" o:hrstd="t" o:hralign="center" fillcolor="#A0A0A0" stroked="f"/>
        </w:pict>
      </w:r>
      <w:r w:rsidDel="00000000" w:rsidR="00000000" w:rsidRPr="00000000">
        <w:rPr>
          <w:b w:val="1"/>
          <w:bCs w:val="1"/>
          <w:sz w:val="20"/>
          <w:szCs w:val="20"/>
          <w:rtl w:val="0"/>
        </w:rPr>
        <w:t xml:space="preserve">Primary Empirical Benchmark Paper</w:t>
      </w:r>
      <w:r w:rsidDel="00000000" w:rsidR="00000000" w:rsidRPr="00000000">
        <w:rPr>
          <w:sz w:val="20"/>
          <w:szCs w:val="20"/>
          <w:rtl w:val="0"/>
        </w:rPr>
        <w:t xml:space="preserve">: Chen, X., et al. (2025). </w:t>
      </w:r>
      <w:hyperlink r:id="rId47">
        <w:r w:rsidDel="00000000" w:rsidR="00000000" w:rsidRPr="00000000">
          <w:rPr>
            <w:color w:val="0284c7"/>
            <w:sz w:val="20"/>
            <w:szCs w:val="20"/>
            <w:u w:val="single"/>
            <w:rtl w:val="0"/>
          </w:rPr>
          <w:t xml:space="preserve">A Comprehensive Analysis of Churn Prediction in Telecommunications Using Machine Learning</w:t>
        </w:r>
      </w:hyperlink>
      <w:r w:rsidDel="00000000" w:rsidR="00000000" w:rsidRPr="00000000">
        <w:rPr>
          <w:sz w:val="20"/>
          <w:szCs w:val="20"/>
          <w:rtl w:val="0"/>
        </w:rPr>
        <w:t xml:space="preserve">. </w:t>
      </w:r>
      <w:r w:rsidDel="00000000" w:rsidR="00000000" w:rsidRPr="00000000">
        <w:rPr>
          <w:i w:val="1"/>
          <w:iCs w:val="1"/>
          <w:sz w:val="20"/>
          <w:szCs w:val="20"/>
          <w:rtl w:val="0"/>
        </w:rPr>
        <w:t xml:space="preserve">arXiv:2509.22654v1</w:t>
      </w:r>
      <w:r w:rsidDel="00000000" w:rsidR="00000000" w:rsidRPr="00000000">
        <w:rPr>
          <w:sz w:val="20"/>
          <w:szCs w:val="20"/>
          <w:rtl w:val="0"/>
        </w:rPr>
        <w:t xml:space="preserve">.</w:t>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z w:val="20"/>
          <w:szCs w:val="20"/>
          <w:rtl w:val="0"/>
        </w:rPr>
        <w:t xml:space="preserve">Primary Systematic Review Paper</w:t>
      </w:r>
      <w:r w:rsidDel="00000000" w:rsidR="00000000" w:rsidRPr="00000000">
        <w:rPr>
          <w:sz w:val="20"/>
          <w:szCs w:val="20"/>
          <w:rtl w:val="0"/>
        </w:rPr>
        <w:t xml:space="preserve">: Imani, M., et al. (2025). </w:t>
      </w:r>
      <w:hyperlink r:id="rId48">
        <w:r w:rsidDel="00000000" w:rsidR="00000000" w:rsidRPr="00000000">
          <w:rPr>
            <w:color w:val="0284c7"/>
            <w:sz w:val="20"/>
            <w:szCs w:val="20"/>
            <w:u w:val="single"/>
            <w:rtl w:val="0"/>
          </w:rPr>
          <w:t xml:space="preserve">Customer Churn Prediction: A Systematic Review of Recent Advances, Trends, and Challenges in Machine Learning and Deep Learning</w:t>
        </w:r>
      </w:hyperlink>
      <w:r w:rsidDel="00000000" w:rsidR="00000000" w:rsidRPr="00000000">
        <w:rPr>
          <w:sz w:val="20"/>
          <w:szCs w:val="20"/>
          <w:rtl w:val="0"/>
        </w:rPr>
        <w:t xml:space="preserve">. </w:t>
      </w:r>
      <w:r w:rsidDel="00000000" w:rsidR="00000000" w:rsidRPr="00000000">
        <w:rPr>
          <w:i w:val="1"/>
          <w:iCs w:val="1"/>
          <w:sz w:val="20"/>
          <w:szCs w:val="20"/>
          <w:rtl w:val="0"/>
        </w:rPr>
        <w:t xml:space="preserve">MDPI MAKE</w:t>
      </w:r>
      <w:r w:rsidDel="00000000" w:rsidR="00000000" w:rsidRPr="00000000">
        <w:rPr>
          <w:sz w:val="20"/>
          <w:szCs w:val="20"/>
          <w:rtl w:val="0"/>
        </w:rPr>
        <w:t xml:space="preserve">, 7(3), 105.</w:t>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z w:val="20"/>
          <w:szCs w:val="20"/>
          <w:rtl w:val="0"/>
        </w:rPr>
        <w:t xml:space="preserve">Feature Engineering &amp; VIF References</w:t>
      </w:r>
      <w:r w:rsidDel="00000000" w:rsidR="00000000" w:rsidRPr="00000000">
        <w:rPr>
          <w:sz w:val="20"/>
          <w:szCs w:val="20"/>
          <w:rtl w:val="0"/>
        </w:rPr>
        <w:t xml:space="preserve">: Kats, D. (2019). </w:t>
      </w:r>
      <w:hyperlink r:id="rId49">
        <w:r w:rsidDel="00000000" w:rsidR="00000000" w:rsidRPr="00000000">
          <w:rPr>
            <w:color w:val="0284c7"/>
            <w:sz w:val="20"/>
            <w:szCs w:val="20"/>
            <w:u w:val="single"/>
            <w:rtl w:val="0"/>
          </w:rPr>
          <w:t xml:space="preserve">Customer Churn EDA, Feature Engineering, and Model</w:t>
        </w:r>
      </w:hyperlink>
      <w:r w:rsidDel="00000000" w:rsidR="00000000" w:rsidRPr="00000000">
        <w:rPr>
          <w:sz w:val="20"/>
          <w:szCs w:val="20"/>
          <w:rtl w:val="0"/>
        </w:rPr>
        <w:t xml:space="preserve">; Patel, A. (2021). </w:t>
      </w:r>
      <w:hyperlink r:id="rId50">
        <w:r w:rsidDel="00000000" w:rsidR="00000000" w:rsidRPr="00000000">
          <w:rPr>
            <w:color w:val="0284c7"/>
            <w:sz w:val="20"/>
            <w:szCs w:val="20"/>
            <w:u w:val="single"/>
            <w:rtl w:val="0"/>
          </w:rPr>
          <w:t xml:space="preserve">Telco Customer Churn (SMOTE, 7 Models)</w:t>
        </w:r>
      </w:hyperlink>
      <w:r w:rsidDel="00000000" w:rsidR="00000000" w:rsidRPr="00000000">
        <w:rPr>
          <w:sz w:val="20"/>
          <w:szCs w:val="20"/>
          <w:rtl w:val="0"/>
        </w:rPr>
        <w:t xml:space="preserve">; Sintiakn (2024). </w:t>
      </w:r>
      <w:hyperlink r:id="rId51">
        <w:r w:rsidDel="00000000" w:rsidR="00000000" w:rsidRPr="00000000">
          <w:rPr>
            <w:color w:val="0284c7"/>
            <w:sz w:val="20"/>
            <w:szCs w:val="20"/>
            <w:u w:val="single"/>
            <w:rtl w:val="0"/>
          </w:rPr>
          <w:t xml:space="preserve">Telco Customer Churn VIF &amp; CatBoost Analysis</w:t>
        </w:r>
      </w:hyperlink>
      <w:r w:rsidDel="00000000" w:rsidR="00000000" w:rsidRPr="00000000">
        <w:rPr>
          <w:sz w:val="20"/>
          <w:szCs w:val="20"/>
          <w:rtl w:val="0"/>
        </w:rPr>
        <w:t xml:space="preserve">.</w:t>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sz w:val="20"/>
          <w:szCs w:val="20"/>
          <w:rtl w:val="0"/>
        </w:rPr>
        <w:t xml:space="preserve">Google Drive Project Workspace</w:t>
      </w:r>
      <w:r w:rsidDel="00000000" w:rsidR="00000000" w:rsidRPr="00000000">
        <w:rPr>
          <w:sz w:val="20"/>
          <w:szCs w:val="20"/>
          <w:rtl w:val="0"/>
        </w:rPr>
        <w:t xml:space="preserve">: </w:t>
      </w:r>
      <w:hyperlink r:id="rId52">
        <w:r w:rsidDel="00000000" w:rsidR="00000000" w:rsidRPr="00000000">
          <w:rPr>
            <w:color w:val="0284c7"/>
            <w:sz w:val="20"/>
            <w:szCs w:val="20"/>
            <w:u w:val="single"/>
            <w:rtl w:val="0"/>
          </w:rPr>
          <w:t xml:space="preserve">Project1_Telecom_Churn_EMPC_Fairness_XAI</w:t>
        </w:r>
      </w:hyperlink>
      <w:r w:rsidDel="00000000" w:rsidR="00000000" w:rsidRPr="00000000">
        <w:rPr>
          <w:sz w:val="20"/>
          <w:szCs w:val="20"/>
          <w:rtl w:val="0"/>
        </w:rPr>
        <w:t xml:space="preserve"> — containing </w:t>
      </w:r>
      <w:hyperlink r:id="rId53">
        <w:r w:rsidDel="00000000" w:rsidR="00000000" w:rsidRPr="00000000">
          <w:rPr>
            <w:color w:val="0284c7"/>
            <w:sz w:val="20"/>
            <w:szCs w:val="20"/>
            <w:u w:val="single"/>
            <w:rtl w:val="0"/>
          </w:rPr>
          <w:t xml:space="preserve">Step 1 Colab Notebook</w:t>
        </w:r>
      </w:hyperlink>
      <w:r w:rsidDel="00000000" w:rsidR="00000000" w:rsidRPr="00000000">
        <w:rPr>
          <w:sz w:val="20"/>
          <w:szCs w:val="20"/>
          <w:rtl w:val="0"/>
        </w:rPr>
        <w:t xml:space="preserve">, </w:t>
      </w:r>
      <w:hyperlink r:id="rId54">
        <w:r w:rsidDel="00000000" w:rsidR="00000000" w:rsidRPr="00000000">
          <w:rPr>
            <w:color w:val="0284c7"/>
            <w:sz w:val="20"/>
            <w:szCs w:val="20"/>
            <w:u w:val="single"/>
            <w:rtl w:val="0"/>
          </w:rPr>
          <w:t xml:space="preserve">Step 2 Colab Notebook</w:t>
        </w:r>
      </w:hyperlink>
      <w:r w:rsidDel="00000000" w:rsidR="00000000" w:rsidRPr="00000000">
        <w:rPr>
          <w:sz w:val="20"/>
          <w:szCs w:val="20"/>
          <w:rtl w:val="0"/>
        </w:rPr>
        <w:t xml:space="preserve">, </w:t>
      </w:r>
      <w:hyperlink r:id="rId55">
        <w:r w:rsidDel="00000000" w:rsidR="00000000" w:rsidRPr="00000000">
          <w:rPr>
            <w:color w:val="0284c7"/>
            <w:sz w:val="20"/>
            <w:szCs w:val="20"/>
            <w:u w:val="single"/>
            <w:rtl w:val="0"/>
          </w:rPr>
          <w:t xml:space="preserve">Step 1 EDA Dashboard PNG</w:t>
        </w:r>
      </w:hyperlink>
      <w:r w:rsidDel="00000000" w:rsidR="00000000" w:rsidRPr="00000000">
        <w:rPr>
          <w:sz w:val="20"/>
          <w:szCs w:val="20"/>
          <w:rtl w:val="0"/>
        </w:rPr>
        <w:t xml:space="preserve">, </w:t>
      </w:r>
      <w:hyperlink r:id="rId56">
        <w:r w:rsidDel="00000000" w:rsidR="00000000" w:rsidRPr="00000000">
          <w:rPr>
            <w:color w:val="0284c7"/>
            <w:sz w:val="20"/>
            <w:szCs w:val="20"/>
            <w:u w:val="single"/>
            <w:rtl w:val="0"/>
          </w:rPr>
          <w:t xml:space="preserve">Step 2 VIF Dashboard PNG</w:t>
        </w:r>
      </w:hyperlink>
      <w:r w:rsidDel="00000000" w:rsidR="00000000" w:rsidRPr="00000000">
        <w:rPr>
          <w:sz w:val="20"/>
          <w:szCs w:val="20"/>
          <w:rtl w:val="0"/>
        </w:rPr>
        <w:t xml:space="preserve">, </w:t>
      </w:r>
      <w:hyperlink r:id="rId57">
        <w:r w:rsidDel="00000000" w:rsidR="00000000" w:rsidRPr="00000000">
          <w:rPr>
            <w:color w:val="0284c7"/>
            <w:sz w:val="20"/>
            <w:szCs w:val="20"/>
            <w:u w:val="single"/>
            <w:rtl w:val="0"/>
          </w:rPr>
          <w:t xml:space="preserve">Step 1 Cohort Summary Sheet</w:t>
        </w:r>
      </w:hyperlink>
      <w:r w:rsidDel="00000000" w:rsidR="00000000" w:rsidRPr="00000000">
        <w:rPr>
          <w:sz w:val="20"/>
          <w:szCs w:val="20"/>
          <w:rtl w:val="0"/>
        </w:rPr>
        <w:t xml:space="preserve">, and </w:t>
      </w:r>
      <w:hyperlink r:id="rId58">
        <w:r w:rsidDel="00000000" w:rsidR="00000000" w:rsidRPr="00000000">
          <w:rPr>
            <w:color w:val="0284c7"/>
            <w:sz w:val="20"/>
            <w:szCs w:val="20"/>
            <w:u w:val="single"/>
            <w:rtl w:val="0"/>
          </w:rPr>
          <w:t xml:space="preserve">Step 2 VIF Audit Sheet</w:t>
        </w:r>
      </w:hyperlink>
      <w:r w:rsidDel="00000000" w:rsidR="00000000" w:rsidRPr="00000000">
        <w:rPr>
          <w:sz w:val="20"/>
          <w:szCs w:val="20"/>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293b"/>
        <w:sz w:val="22"/>
        <w:szCs w:val="22"/>
      </w:rPr>
    </w:rPrDefault>
    <w:pPrDefault>
      <w:pPr>
        <w:widowControl w:val="0"/>
        <w:spacing w:line="371.999988555908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160" w:before="240" w:lineRule="auto"/>
    </w:pPr>
    <w:rPr>
      <w:b w:val="1"/>
      <w:bCs w:val="1"/>
      <w:i w:val="0"/>
      <w:iCs w:val="0"/>
      <w:color w:val="0f172a"/>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80" w:before="360" w:lineRule="auto"/>
    </w:pPr>
    <w:rPr>
      <w:b w:val="1"/>
      <w:bCs w:val="1"/>
      <w:i w:val="0"/>
      <w:iCs w:val="0"/>
      <w:color w:val="1e3a8a"/>
      <w:sz w:val="30"/>
      <w:szCs w:val="3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80" w:before="280" w:lineRule="auto"/>
    </w:pPr>
    <w:rPr>
      <w:b w:val="1"/>
      <w:bCs w:val="1"/>
      <w:i w:val="0"/>
      <w:iCs w:val="0"/>
      <w:color w:val="0f172a"/>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html/2509.22654v1" TargetMode="External"/><Relationship Id="rId42" Type="http://schemas.openxmlformats.org/officeDocument/2006/relationships/hyperlink" Target="https://medium.com/@sintiakn1620/telco-customer-churn-a80b7648768d" TargetMode="External"/><Relationship Id="rId41" Type="http://schemas.openxmlformats.org/officeDocument/2006/relationships/hyperlink" Target="https://www.kaggle.com/code/imakash3011/telco-customer-churn-81-acc-smote-7-model" TargetMode="External"/><Relationship Id="rId44" Type="http://schemas.openxmlformats.org/officeDocument/2006/relationships/hyperlink" Target="https://www.kaggle.com/code/imakash3011/telco-customer-churn-81-acc-smote-7-model" TargetMode="External"/><Relationship Id="rId43" Type="http://schemas.openxmlformats.org/officeDocument/2006/relationships/hyperlink" Target="https://docs.google.com/spreadsheets/d/1xMIuDXa3p7ezY09A8W4h8QF9CdkpIF_vDX7-wYER1mE/edit?usp=drivesdk&amp;ouid=118200887470037407082" TargetMode="External"/><Relationship Id="rId46" Type="http://schemas.openxmlformats.org/officeDocument/2006/relationships/hyperlink" Target="https://medium.com/@sintiakn1620/telco-customer-churn-a80b7648768d" TargetMode="External"/><Relationship Id="rId45" Type="http://schemas.openxmlformats.org/officeDocument/2006/relationships/hyperlink" Target="https://www.kaggle.com/code/kitsdmit/customer-churn-eda-feature-engineering-and-mode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IBM/telco-customer-churn-on-icp4d/blob/master/data/Telco-Customer-Churn.csv" TargetMode="External"/><Relationship Id="rId48" Type="http://schemas.openxmlformats.org/officeDocument/2006/relationships/hyperlink" Target="https://www.mdpi.com/2504-4990/7/3/105" TargetMode="External"/><Relationship Id="rId47" Type="http://schemas.openxmlformats.org/officeDocument/2006/relationships/hyperlink" Target="https://arxiv.org/html/2509.22654v1" TargetMode="External"/><Relationship Id="rId49" Type="http://schemas.openxmlformats.org/officeDocument/2006/relationships/hyperlink" Target="https://www.kaggle.com/code/kitsdmit/customer-churn-eda-feature-engineering-and-model" TargetMode="External"/><Relationship Id="rId5" Type="http://schemas.openxmlformats.org/officeDocument/2006/relationships/styles" Target="styles.xml"/><Relationship Id="rId6" Type="http://schemas.openxmlformats.org/officeDocument/2006/relationships/hyperlink" Target="https://arxiv.org/html/2509.22654v1" TargetMode="External"/><Relationship Id="rId7" Type="http://schemas.openxmlformats.org/officeDocument/2006/relationships/hyperlink" Target="https://www.mdpi.com/2504-4990/7/3/105" TargetMode="External"/><Relationship Id="rId8" Type="http://schemas.openxmlformats.org/officeDocument/2006/relationships/hyperlink" Target="https://www.kaggle.com/datasets/blastchar/telco-customer-churn" TargetMode="External"/><Relationship Id="rId31" Type="http://schemas.openxmlformats.org/officeDocument/2006/relationships/hyperlink" Target="https://drive.google.com/file/d/18lY7i_BHaDSNZU0aynTSxCjTntKFUVnl/view?usp=drivesdk" TargetMode="External"/><Relationship Id="rId30" Type="http://schemas.openxmlformats.org/officeDocument/2006/relationships/hyperlink" Target="https://docs.google.com/spreadsheets/d/1O2fVB3jhFS6PDUsCTHWBA0xofPdz7qGEoaf4i7Ox4H0/edit?usp=drivesdk&amp;ouid=118200887470037407082" TargetMode="External"/><Relationship Id="rId33" Type="http://schemas.openxmlformats.org/officeDocument/2006/relationships/hyperlink" Target="https://drive.google.com/file/d/1feJe-V115H1XAe2KHDR_wWwLSnDCUarn/view?usp=drivesdk" TargetMode="External"/><Relationship Id="rId32" Type="http://schemas.openxmlformats.org/officeDocument/2006/relationships/hyperlink" Target="https://www.mdpi.com/2504-4990/7/3/105" TargetMode="External"/><Relationship Id="rId35" Type="http://schemas.openxmlformats.org/officeDocument/2006/relationships/hyperlink" Target="https://www.kaggle.com/code/kitsdmit/customer-churn-eda-feature-engineering-and-model" TargetMode="External"/><Relationship Id="rId34" Type="http://schemas.openxmlformats.org/officeDocument/2006/relationships/hyperlink" Target="https://www.kaggle.com/code/imakash3011/telco-customer-churn-81-acc-smote-7-model" TargetMode="External"/><Relationship Id="rId37" Type="http://schemas.openxmlformats.org/officeDocument/2006/relationships/hyperlink" Target="https://colab.research.google.com/drive/1JD00XqCQkD-ZaGziI44stMPxf_KH2CGP?ouid=118200887470037407082" TargetMode="External"/><Relationship Id="rId36" Type="http://schemas.openxmlformats.org/officeDocument/2006/relationships/hyperlink" Target="https://www.mdpi.com/2504-4990/7/3/105" TargetMode="External"/><Relationship Id="rId39" Type="http://schemas.openxmlformats.org/officeDocument/2006/relationships/hyperlink" Target="https://www.kaggle.com/code/kitsdmit/customer-churn-eda-feature-engineering-and-model" TargetMode="External"/><Relationship Id="rId38" Type="http://schemas.openxmlformats.org/officeDocument/2006/relationships/hyperlink" Target="https://docs.google.com/spreadsheets/d/1GjIP3YVl_MZsX3c0GwtYmWLz5tk_cgHn4UiCMN2ZH5s/edit?usp=drivesdk&amp;ouid=118200887470037407082" TargetMode="External"/><Relationship Id="rId20" Type="http://schemas.openxmlformats.org/officeDocument/2006/relationships/hyperlink" Target="https://colab.research.google.com/drive/1JD00XqCQkD-ZaGziI44stMPxf_KH2CGP?ouid=118200887470037407082" TargetMode="External"/><Relationship Id="rId22" Type="http://schemas.openxmlformats.org/officeDocument/2006/relationships/hyperlink" Target="https://docs.google.com/spreadsheets/d/1GjIP3YVl_MZsX3c0GwtYmWLz5tk_cgHn4UiCMN2ZH5s/edit?usp=drivesdk&amp;ouid=118200887470037407082" TargetMode="External"/><Relationship Id="rId21" Type="http://schemas.openxmlformats.org/officeDocument/2006/relationships/hyperlink" Target="https://drive.google.com/file/d/1feJe-V115H1XAe2KHDR_wWwLSnDCUarn/view?usp=drivesdk" TargetMode="External"/><Relationship Id="rId24" Type="http://schemas.openxmlformats.org/officeDocument/2006/relationships/hyperlink" Target="https://arxiv.org/html/2509.22654v1" TargetMode="External"/><Relationship Id="rId23" Type="http://schemas.openxmlformats.org/officeDocument/2006/relationships/hyperlink" Target="https://github.com/IBM/telco-customer-churn-on-icp4d/blob/master/data/Telco-Customer-Churn.csv" TargetMode="External"/><Relationship Id="rId26" Type="http://schemas.openxmlformats.org/officeDocument/2006/relationships/hyperlink" Target="https://www.kaggle.com/code/adhang/telco-customer-churn-prediction-complete-guide" TargetMode="External"/><Relationship Id="rId25" Type="http://schemas.openxmlformats.org/officeDocument/2006/relationships/hyperlink" Target="https://colab.research.google.com/drive/1v9w5HjaoseUO7UlVuK_HetcQj4GaEuc3?ouid=118200887470037407082" TargetMode="External"/><Relationship Id="rId28" Type="http://schemas.openxmlformats.org/officeDocument/2006/relationships/hyperlink" Target="https://arxiv.org/html/2509.22654v1" TargetMode="External"/><Relationship Id="rId27" Type="http://schemas.openxmlformats.org/officeDocument/2006/relationships/hyperlink" Target="https://docs.google.com/spreadsheets/d/1xMIuDXa3p7ezY09A8W4h8QF9CdkpIF_vDX7-wYER1mE/edit?usp=drivesdk&amp;ouid=118200887470037407082" TargetMode="External"/><Relationship Id="rId29" Type="http://schemas.openxmlformats.org/officeDocument/2006/relationships/hyperlink" Target="https://python.plainenglish.io/telco-customer-churn-prediction-f254cfbee95" TargetMode="External"/><Relationship Id="rId51" Type="http://schemas.openxmlformats.org/officeDocument/2006/relationships/hyperlink" Target="https://medium.com/@sintiakn1620/telco-customer-churn-a80b7648768d" TargetMode="External"/><Relationship Id="rId50" Type="http://schemas.openxmlformats.org/officeDocument/2006/relationships/hyperlink" Target="https://www.kaggle.com/code/imakash3011/telco-customer-churn-81-acc-smote-7-model" TargetMode="External"/><Relationship Id="rId53" Type="http://schemas.openxmlformats.org/officeDocument/2006/relationships/hyperlink" Target="https://colab.research.google.com/drive/1v9w5HjaoseUO7UlVuK_HetcQj4GaEuc3?ouid=118200887470037407082" TargetMode="External"/><Relationship Id="rId52" Type="http://schemas.openxmlformats.org/officeDocument/2006/relationships/hyperlink" Target="https://drive.google.com/drive/folders/1Ezm-WHotbmqcDGBjJlD4k5rz5ER4lMMW" TargetMode="External"/><Relationship Id="rId11" Type="http://schemas.openxmlformats.org/officeDocument/2006/relationships/hyperlink" Target="https://www.mdpi.com/2504-4990/7/3/105" TargetMode="External"/><Relationship Id="rId55" Type="http://schemas.openxmlformats.org/officeDocument/2006/relationships/hyperlink" Target="https://drive.google.com/file/d/18lY7i_BHaDSNZU0aynTSxCjTntKFUVnl/view?usp=drivesdk" TargetMode="External"/><Relationship Id="rId10" Type="http://schemas.openxmlformats.org/officeDocument/2006/relationships/hyperlink" Target="https://www.mdpi.com/2504-4990/7/3/105" TargetMode="External"/><Relationship Id="rId54" Type="http://schemas.openxmlformats.org/officeDocument/2006/relationships/hyperlink" Target="https://colab.research.google.com/drive/1JD00XqCQkD-ZaGziI44stMPxf_KH2CGP?ouid=118200887470037407082" TargetMode="External"/><Relationship Id="rId13" Type="http://schemas.openxmlformats.org/officeDocument/2006/relationships/hyperlink" Target="https://docs.google.com/spreadsheets/d/1klrq_UQEjpdxyKZbBTBu689UAhd1PilCNxavnA-E1wI/edit?usp=drivesdk&amp;ouid=118200887470037407082" TargetMode="External"/><Relationship Id="rId57" Type="http://schemas.openxmlformats.org/officeDocument/2006/relationships/hyperlink" Target="https://docs.google.com/spreadsheets/d/1O2fVB3jhFS6PDUsCTHWBA0xofPdz7qGEoaf4i7Ox4H0/edit?usp=drivesdk&amp;ouid=118200887470037407082" TargetMode="External"/><Relationship Id="rId12" Type="http://schemas.openxmlformats.org/officeDocument/2006/relationships/hyperlink" Target="https://docs.google.com/spreadsheets/d/16IVOPtZksmNyBQ-y0fIAF9P9rCXT8ztZ7p09_je1DJo/edit?usp=drivesdk&amp;ouid=118200887470037407082" TargetMode="External"/><Relationship Id="rId56" Type="http://schemas.openxmlformats.org/officeDocument/2006/relationships/hyperlink" Target="https://drive.google.com/file/d/1feJe-V115H1XAe2KHDR_wWwLSnDCUarn/view?usp=drivesdk" TargetMode="External"/><Relationship Id="rId15" Type="http://schemas.openxmlformats.org/officeDocument/2006/relationships/hyperlink" Target="https://arxiv.org/html/2509.22654v1" TargetMode="External"/><Relationship Id="rId14" Type="http://schemas.openxmlformats.org/officeDocument/2006/relationships/hyperlink" Target="https://www.mdpi.com/2504-4990/7/3/105" TargetMode="External"/><Relationship Id="rId58" Type="http://schemas.openxmlformats.org/officeDocument/2006/relationships/hyperlink" Target="https://docs.google.com/spreadsheets/d/1GjIP3YVl_MZsX3c0GwtYmWLz5tk_cgHn4UiCMN2ZH5s/edit?usp=drivesdk&amp;ouid=118200887470037407082" TargetMode="External"/><Relationship Id="rId17" Type="http://schemas.openxmlformats.org/officeDocument/2006/relationships/hyperlink" Target="https://drive.google.com/drive/folders/1Ezm-WHotbmqcDGBjJlD4k5rz5ER4lMMW" TargetMode="External"/><Relationship Id="rId16" Type="http://schemas.openxmlformats.org/officeDocument/2006/relationships/hyperlink" Target="https://docs.google.com/spreadsheets/d/16IVOPtZksmNyBQ-y0fIAF9P9rCXT8ztZ7p09_je1DJo/edit?usp=drivesdk&amp;ouid=118200887470037407082" TargetMode="External"/><Relationship Id="rId19" Type="http://schemas.openxmlformats.org/officeDocument/2006/relationships/hyperlink" Target="https://drive.google.com/file/d/18lY7i_BHaDSNZU0aynTSxCjTntKFUVnl/view?usp=drivesdk" TargetMode="External"/><Relationship Id="rId18" Type="http://schemas.openxmlformats.org/officeDocument/2006/relationships/hyperlink" Target="https://colab.research.google.com/drive/1v9w5HjaoseUO7UlVuK_HetcQj4GaEuc3?ouid=1182008874700374070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