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  <w:t xml:space="preserve">Profit-Driven Telecommunications Customer Churn Prediction with Demographic Fairness Auditing and Post-Hoc Explainable AI: A Step-by-Step Scientific Investigation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Executive Synthesis and Literature Grounding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0"/>
          <w:szCs w:val="20"/>
          <w:rtl w:val="0"/>
        </w:rPr>
        <w:t xml:space="preserve">Customer attrition in the telecommunications sector represents a high-stakes operational and economic challenge, as empirical customer relationship management (CRM) studies establish that acquiring a replacement subscriber costs between five and twenty-five times more than retaining an existing account (</w:t>
      </w:r>
      <w:hyperlink r:id="rId6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Chen et al., 2025</w:t>
        </w:r>
      </w:hyperlink>
      <w:r w:rsidDel="00000000" w:rsidR="00000000" w:rsidRPr="00000000">
        <w:rPr>
          <w:sz w:val="20"/>
          <w:szCs w:val="20"/>
          <w:rtl w:val="0"/>
        </w:rPr>
        <w:t xml:space="preserve">; </w:t>
      </w:r>
      <w:hyperlink r:id="rId7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Imani et al., 2025</w:t>
        </w:r>
      </w:hyperlink>
      <w:r w:rsidDel="00000000" w:rsidR="00000000" w:rsidRPr="00000000">
        <w:rPr>
          <w:sz w:val="20"/>
          <w:szCs w:val="20"/>
          <w:rtl w:val="0"/>
        </w:rPr>
        <w:t xml:space="preserve">). While machine learning and deep learning classifiers have been widely applied to the benchmark </w:t>
      </w:r>
      <w:hyperlink r:id="rId8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IBM Telco Customer Churn dataset</w:t>
        </w:r>
      </w:hyperlink>
      <w:r w:rsidDel="00000000" w:rsidR="00000000" w:rsidRPr="00000000">
        <w:rPr>
          <w:sz w:val="20"/>
          <w:szCs w:val="20"/>
          <w:rtl w:val="0"/>
        </w:rPr>
        <w:t xml:space="preserve"> (hosted on open access via the </w:t>
      </w:r>
      <w:hyperlink r:id="rId9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IBM Cloud Pak for Data Repository</w:t>
        </w:r>
      </w:hyperlink>
      <w:r w:rsidDel="00000000" w:rsidR="00000000" w:rsidRPr="00000000">
        <w:rPr>
          <w:sz w:val="20"/>
          <w:szCs w:val="20"/>
          <w:rtl w:val="0"/>
        </w:rPr>
        <w:t xml:space="preserve">), a PRISMA-guided systematic synthesis of 240 peer-reviewed churn studies published between 2020 and 2024 by </w:t>
      </w:r>
      <w:hyperlink r:id="rId10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Imani et al. (2025)</w:t>
        </w:r>
      </w:hyperlink>
      <w:r w:rsidDel="00000000" w:rsidR="00000000" w:rsidRPr="00000000">
        <w:rPr>
          <w:sz w:val="20"/>
          <w:szCs w:val="20"/>
          <w:rtl w:val="0"/>
        </w:rPr>
        <w:t xml:space="preserve"> demonstrates that existing literature suffers from four foundational flaws that prevent reliable production deployment: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Over-Reliance on Cost-Blind Statistical Thresholds</w:t>
      </w:r>
      <w:r w:rsidDel="00000000" w:rsidR="00000000" w:rsidRPr="00000000">
        <w:rPr>
          <w:sz w:val="20"/>
          <w:szCs w:val="20"/>
          <w:rtl w:val="0"/>
        </w:rPr>
        <w:t xml:space="preserve">: Nearly all published studies evaluate classifiers at a rigid 0.50 posterior probability threshold using symmetric statistical metrics (Accuracy, standard F1-score, or ROC-AUC), ignoring the asymmetric financial cost of false-positive retention incentives versus false-negative lost customer lifetime value (CLV) captured by the Expected Maximum Profit for Customer Churn (EMPC) framework (</w:t>
      </w:r>
      <w:hyperlink r:id="rId11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Imani et al., 2025</w:t>
        </w:r>
      </w:hyperlink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Preprocessing Data Leakage and Imputation Distortion</w:t>
      </w:r>
      <w:r w:rsidDel="00000000" w:rsidR="00000000" w:rsidRPr="00000000">
        <w:rPr>
          <w:sz w:val="20"/>
          <w:szCs w:val="20"/>
          <w:rtl w:val="0"/>
        </w:rPr>
        <w:t xml:space="preserve">: Numerous benchmark pipelines apply synthetic oversampling (SMOTE / SMOTE-ENN) or feature scaling across the full 7,043-record table prior to train-test partitioning, or drop/median-impute the 11 non-numeric TotalCharges records without diagnosing their underlying billing mechanism (</w:t>
      </w:r>
      <w:hyperlink r:id="rId12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Research Gaps Tracker</w:t>
        </w:r>
      </w:hyperlink>
      <w:r w:rsidDel="00000000" w:rsidR="00000000" w:rsidRPr="00000000">
        <w:rPr>
          <w:sz w:val="20"/>
          <w:szCs w:val="20"/>
          <w:rtl w:val="0"/>
        </w:rPr>
        <w:t xml:space="preserve">; </w:t>
      </w:r>
      <w:hyperlink r:id="rId13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Methodologically Rigorous Audit Sheet</w:t>
        </w:r>
      </w:hyperlink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Omission of Algorithmic Fairness and Demographic Bias Auditing</w:t>
      </w:r>
      <w:r w:rsidDel="00000000" w:rsidR="00000000" w:rsidRPr="00000000">
        <w:rPr>
          <w:sz w:val="20"/>
          <w:szCs w:val="20"/>
          <w:rtl w:val="0"/>
        </w:rPr>
        <w:t xml:space="preserve">: Section 8.3 of </w:t>
      </w:r>
      <w:hyperlink r:id="rId14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Imani et al. (2025)</w:t>
        </w:r>
      </w:hyperlink>
      <w:r w:rsidDel="00000000" w:rsidR="00000000" w:rsidRPr="00000000">
        <w:rPr>
          <w:sz w:val="20"/>
          <w:szCs w:val="20"/>
          <w:rtl w:val="0"/>
        </w:rPr>
        <w:t xml:space="preserve"> explicitly identifies the near-total absence of demographic fairness auditing across protected customer subgroups (such as SeniorCitizen and gender), creating severe risk of discriminatory retention targeting or exclusionary pricing.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Black-Box Opacity in Retention Triage</w:t>
      </w:r>
      <w:r w:rsidDel="00000000" w:rsidR="00000000" w:rsidRPr="00000000">
        <w:rPr>
          <w:sz w:val="20"/>
          <w:szCs w:val="20"/>
          <w:rtl w:val="0"/>
        </w:rPr>
        <w:t xml:space="preserve">: High-capacity gradient boosted trees and deep neural networks output uncalibrated risk scores without customer-level feature attributions, preventing retention teams from distinguishing whether a subscriber is leaving due to price shock, lack of technical support, or contract expiration (</w:t>
      </w:r>
      <w:hyperlink r:id="rId15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Chen et al., 2025</w:t>
        </w:r>
      </w:hyperlink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living scientific report documents the step-by-step experimental execution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#1</w:t>
      </w:r>
      <w:r w:rsidDel="00000000" w:rsidR="00000000" w:rsidRPr="00000000">
        <w:rPr>
          <w:sz w:val="20"/>
          <w:szCs w:val="20"/>
          <w:rtl w:val="0"/>
        </w:rPr>
        <w:t xml:space="preserve"> (combining Row 10 and Row 21 of the </w:t>
      </w:r>
      <w:hyperlink r:id="rId16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Research_Papers_And_Projects — Research Gaps tracker</w:t>
        </w:r>
      </w:hyperlink>
      <w:r w:rsidDel="00000000" w:rsidR="00000000" w:rsidRPr="00000000">
        <w:rPr>
          <w:sz w:val="20"/>
          <w:szCs w:val="20"/>
          <w:rtl w:val="0"/>
        </w:rPr>
        <w:t xml:space="preserve">). All project assets are organized inside the dedicated Google Drive workspace </w:t>
      </w:r>
      <w:hyperlink r:id="rId17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Project1_Telecom_Churn_EMPC_Fairness_XAI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0" w:lineRule="auto"/>
        <w:rPr/>
      </w:pPr>
      <w:r w:rsidDel="00000000" w:rsidR="00000000" w:rsidRPr="00000000">
        <w:rPr>
          <w:rtl w:val="0"/>
        </w:rPr>
        <w:t xml:space="preserve">Experimental Architecture and Six-Step Scientific Protocol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Experimental Step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Phase Title and Scientific Objective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Key Quantitative Deliverables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Execution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Step 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Problem Formulation, Data Hygiene Audit &amp; Exploratory Statistical Analysis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Schema verification (N = 7,043, d = 21), exact resolution of the 11 TotalCharges whitespace anomalies, diagnosis of Simpson's Paradox and structural collinearity, 36-cohort risk stratification, and fairness baseline (</w:t>
            </w:r>
            <w:hyperlink r:id="rId18">
              <w:r w:rsidDel="00000000" w:rsidR="00000000" w:rsidRPr="00000000">
                <w:rPr>
                  <w:color w:val="0284c7"/>
                  <w:sz w:val="18"/>
                  <w:szCs w:val="18"/>
                  <w:u w:val="single"/>
                  <w:vertAlign w:val="baseline"/>
                  <w:rtl w:val="0"/>
                </w:rPr>
                <w:t xml:space="preserve">Step 1 Colab Notebook</w:t>
              </w:r>
            </w:hyperlink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</w:t>
            </w:r>
            <w:hyperlink r:id="rId19">
              <w:r w:rsidDel="00000000" w:rsidR="00000000" w:rsidRPr="00000000">
                <w:rPr>
                  <w:color w:val="0284c7"/>
                  <w:sz w:val="18"/>
                  <w:szCs w:val="18"/>
                  <w:u w:val="single"/>
                  <w:vertAlign w:val="baseline"/>
                  <w:rtl w:val="0"/>
                </w:rPr>
                <w:t xml:space="preserve">Step 1 EDA Dashboard PNG</w:t>
              </w:r>
            </w:hyperlink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Step 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Domain Feature Engineering &amp; Leakage-Free Preprocessing Pipeline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Strict 80/20 stratified train-test split (n_train = 5,634, n_test = 1,409) prior to transformations; 11 engineered domain interaction features; VIF collinearity elimination from VIF = inf / 9.53 down to &lt;= 2.34 (</w:t>
            </w:r>
            <w:hyperlink r:id="rId20">
              <w:r w:rsidDel="00000000" w:rsidR="00000000" w:rsidRPr="00000000">
                <w:rPr>
                  <w:color w:val="0284c7"/>
                  <w:sz w:val="18"/>
                  <w:szCs w:val="18"/>
                  <w:u w:val="single"/>
                  <w:vertAlign w:val="baseline"/>
                  <w:rtl w:val="0"/>
                </w:rPr>
                <w:t xml:space="preserve">Step 2 Colab Notebook</w:t>
              </w:r>
            </w:hyperlink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</w:t>
            </w:r>
            <w:hyperlink r:id="rId21">
              <w:r w:rsidDel="00000000" w:rsidR="00000000" w:rsidRPr="00000000">
                <w:rPr>
                  <w:color w:val="0284c7"/>
                  <w:sz w:val="18"/>
                  <w:szCs w:val="18"/>
                  <w:u w:val="single"/>
                  <w:vertAlign w:val="baseline"/>
                  <w:rtl w:val="0"/>
                </w:rPr>
                <w:t xml:space="preserve">Step 2 VIF Dashboard PNG</w:t>
              </w:r>
            </w:hyperlink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</w:t>
            </w:r>
            <w:hyperlink r:id="rId22">
              <w:r w:rsidDel="00000000" w:rsidR="00000000" w:rsidRPr="00000000">
                <w:rPr>
                  <w:color w:val="0284c7"/>
                  <w:sz w:val="18"/>
                  <w:szCs w:val="18"/>
                  <w:u w:val="single"/>
                  <w:vertAlign w:val="baseline"/>
                  <w:rtl w:val="0"/>
                </w:rPr>
                <w:t xml:space="preserve">Step 2 VIF Audit Sheet</w:t>
              </w:r>
            </w:hyperlink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Step 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Imbalance Mitigation &amp; Multi-Model Benchmarking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24-configuration factorial evaluation across 6 architectures (CatBoost, LightGBM, XGBoost, Random Forest, Logistic Regression, Focal-Loss Tabular MLP) and 4 training-only imbalance regimes (Unresampled, Cost-Sensitive/Focal Loss, SMOTE, SMOTE-ENN) on held-out X_test; resolution of hard-label ROC-AUC and ENN leakage bugs; Bayes prior calibration (</w:t>
            </w:r>
            <w:hyperlink r:id="rId23">
              <w:r w:rsidDel="00000000" w:rsidR="00000000" w:rsidRPr="00000000">
                <w:rPr>
                  <w:color w:val="0284c7"/>
                  <w:sz w:val="18"/>
                  <w:szCs w:val="18"/>
                  <w:u w:val="single"/>
                  <w:vertAlign w:val="baseline"/>
                  <w:rtl w:val="0"/>
                </w:rPr>
                <w:t xml:space="preserve">Step 3 Colab Notebook</w:t>
              </w:r>
            </w:hyperlink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</w:t>
            </w:r>
            <w:hyperlink r:id="rId24">
              <w:r w:rsidDel="00000000" w:rsidR="00000000" w:rsidRPr="00000000">
                <w:rPr>
                  <w:color w:val="0284c7"/>
                  <w:sz w:val="18"/>
                  <w:szCs w:val="18"/>
                  <w:u w:val="single"/>
                  <w:vertAlign w:val="baseline"/>
                  <w:rtl w:val="0"/>
                </w:rPr>
                <w:t xml:space="preserve">Step 3 Benchmark Dashboard &amp; Sheet</w:t>
              </w:r>
            </w:hyperlink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COMPLETED (Current Checkpoint)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Step 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Decision Economics &amp; Expected Maximum Profit (EMPC) Optimization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Formulation of customer-specific retention cost-benefit matrix; expected profit curve optimization across probability thresholds (t in [0.05, 0.95]); comparison of 0.50 threshold vs. EMPC-optimal threshold net savings.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Pending User Review of Step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Step 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Demographic Fairness Auditing &amp; Bias Mitigation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Evaluation of Disparate Impact (DI), Statistical Parity Difference (SPD), Equal Opportunity Difference (EOD), and Predictive Equality across SeniorCitizen (0 vs. 1) and gender (Male vs. Female), plus post-processing threshold calibration.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Queued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Step 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Post-Hoc Explainable AI (SHAP) &amp; Operational Retention Playbook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Global SHAP summary/beeswarm rankings, feature dependence interaction curves, local customer waterfall explanations across risk tiers, and final executive synthesis.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Queued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lineRule="auto"/>
        <w:rPr/>
      </w:pPr>
      <w:r w:rsidDel="00000000" w:rsidR="00000000" w:rsidRPr="00000000">
        <w:rPr>
          <w:rtl w:val="0"/>
        </w:rPr>
        <w:t xml:space="preserve">Step 1 Execution: Problem Formulation, Data Hygiene Audit, and Exploratory Statistical Analysis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1.1 Mathematical Problem Formulation and Dataset Architecture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Let D = {(x_i, y_i)} for i = 1, ..., N denote the telecommunications subscriber cohort of N = 7,043 customer accounts extracted from the </w:t>
      </w:r>
      <w:hyperlink r:id="rId25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IBM Telco Customer Churn corpus</w:t>
        </w:r>
      </w:hyperlink>
      <w:r w:rsidDel="00000000" w:rsidR="00000000" w:rsidRPr="00000000">
        <w:rPr>
          <w:sz w:val="20"/>
          <w:szCs w:val="20"/>
          <w:rtl w:val="0"/>
        </w:rPr>
        <w:t xml:space="preserve">. Each subscriber i is characterized by a unique identifier (customerID), a d = 19 dimensional covariate vector x_i spanning three structural domains (Demographic Profile, Subscribed Service Portfolio, and Account/Billing Telemetry), and a binary attrition indicator y_i in {0, 1}, where y_i = 1 denotes service termination within the preceding billing cycle (Churn = Yes) and y_i = 0 denotes active retention (Churn = No) (</w:t>
      </w:r>
      <w:hyperlink r:id="rId26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Chen et al., 2025</w:t>
        </w:r>
      </w:hyperlink>
      <w:r w:rsidDel="00000000" w:rsidR="00000000" w:rsidRPr="00000000">
        <w:rPr>
          <w:sz w:val="20"/>
          <w:szCs w:val="20"/>
          <w:rtl w:val="0"/>
        </w:rPr>
        <w:t xml:space="preserve">). Programmatic inspection in </w:t>
      </w:r>
      <w:hyperlink r:id="rId27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Step1_Data_Hygiene_Audit_and_EDA.ipynb</w:t>
        </w:r>
      </w:hyperlink>
      <w:r w:rsidDel="00000000" w:rsidR="00000000" w:rsidRPr="00000000">
        <w:rPr>
          <w:sz w:val="20"/>
          <w:szCs w:val="20"/>
          <w:rtl w:val="0"/>
        </w:rPr>
        <w:t xml:space="preserve"> confirms zero duplicate records and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2.768 : 1 class imbalance</w:t>
      </w:r>
      <w:r w:rsidDel="00000000" w:rsidR="00000000" w:rsidRPr="00000000">
        <w:rPr>
          <w:sz w:val="20"/>
          <w:szCs w:val="20"/>
          <w:rtl w:val="0"/>
        </w:rPr>
        <w:t xml:space="preserve"> (5,174 Retained = 73.463%; 1,869 Churned = 26.537%).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Schema Audit and Exact Resolution of the TotalCharges Whitespace Anomaly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Coercive numeric parsing (pd.to_numeric(df['TotalCharges'], errors='coerce')) exposes exactly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11 records (0.1562% of the dataset)</w:t>
      </w:r>
      <w:r w:rsidDel="00000000" w:rsidR="00000000" w:rsidRPr="00000000">
        <w:rPr>
          <w:sz w:val="20"/>
          <w:szCs w:val="20"/>
          <w:rtl w:val="0"/>
        </w:rPr>
        <w:t xml:space="preserve"> at row indices [488, 753, 936, 1082, 1340, 3331, 3826, 4380, 5218, 6670, 6754] containing an ASCII whitespace character (' '). Cross-tabulation in </w:t>
      </w:r>
      <w:hyperlink r:id="rId28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Telco_Churn_11_Blank_TotalCharges_Audit</w:t>
        </w:r>
      </w:hyperlink>
      <w:r w:rsidDel="00000000" w:rsidR="00000000" w:rsidRPr="00000000">
        <w:rPr>
          <w:sz w:val="20"/>
          <w:szCs w:val="20"/>
          <w:rtl w:val="0"/>
        </w:rPr>
        <w:t xml:space="preserve"> proves that 100% of these 11 records have tenure = 0 months, a committed One year or Two year contract, and Churn = No. Because these newly onboarded subscribers have not completed their first billing cycle, their exact cumulative billed amount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$0.00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hyperlink r:id="rId29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Chen et al., 2025</w:t>
        </w:r>
      </w:hyperlink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 Continuous Feature Divergence, Simpson's Paradox, and Cohort Risk Stratification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Churned subscribers pay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+21.51% higher MonthlyCharges</w:t>
      </w:r>
      <w:r w:rsidDel="00000000" w:rsidR="00000000" w:rsidRPr="00000000">
        <w:rPr>
          <w:sz w:val="20"/>
          <w:szCs w:val="20"/>
          <w:rtl w:val="0"/>
        </w:rPr>
        <w:t xml:space="preserve"> ($74.441 vs. $61.265, r = +0.193) but exhibit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-40.06% lower TotalCharges</w:t>
      </w:r>
      <w:r w:rsidDel="00000000" w:rsidR="00000000" w:rsidRPr="00000000">
        <w:rPr>
          <w:sz w:val="20"/>
          <w:szCs w:val="20"/>
          <w:rtl w:val="0"/>
        </w:rPr>
        <w:t xml:space="preserve"> ($1,531.796 vs. $2,555.344, r = -0.199) due to multiplicative confounding with tenure (17.979 vs. 37.570 months, r = -0.352) (</w:t>
      </w:r>
      <w:hyperlink r:id="rId30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Bozkus, 2022</w:t>
        </w:r>
      </w:hyperlink>
      <w:r w:rsidDel="00000000" w:rsidR="00000000" w:rsidRPr="00000000">
        <w:rPr>
          <w:sz w:val="20"/>
          <w:szCs w:val="20"/>
          <w:rtl w:val="0"/>
        </w:rPr>
        <w:t xml:space="preserve">). Full cross-tabulation across all 36 categorical levels in </w:t>
      </w:r>
      <w:hyperlink r:id="rId31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Step1_Cohort_Churn_Summary_Table</w:t>
        </w:r>
      </w:hyperlink>
      <w:r w:rsidDel="00000000" w:rsidR="00000000" w:rsidRPr="00000000">
        <w:rPr>
          <w:sz w:val="20"/>
          <w:szCs w:val="20"/>
          <w:rtl w:val="0"/>
        </w:rPr>
        <w:t xml:space="preserve"> establishes that churn peaks in Electronic check (45.3%), Month-to-month (42.7%), Fiber optic (41.9%), and SeniorCitizen = 1 (41.7% vs. 23.6% for non-seniors, Relative Risk = 1.77x), while gender is balanced (26.92% Female vs. 26.16% Male).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0" w:lineRule="auto"/>
        <w:rPr/>
      </w:pPr>
      <w:r w:rsidDel="00000000" w:rsidR="00000000" w:rsidRPr="00000000">
        <w:rPr>
          <w:rtl w:val="0"/>
        </w:rPr>
        <w:t xml:space="preserve">Step 2 Execution: Domain Feature Engineering, Leakage Prevention, and VIF Multicollinearity Elimination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2.1 Strict Pre-Transformation Stratified Partitioning (80/20)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eliminate pre-split SMOTE leakage (</w:t>
      </w:r>
      <w:hyperlink r:id="rId32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Patel, 2021</w:t>
        </w:r>
      </w:hyperlink>
      <w:r w:rsidDel="00000000" w:rsidR="00000000" w:rsidRPr="00000000">
        <w:rPr>
          <w:sz w:val="20"/>
          <w:szCs w:val="20"/>
          <w:rtl w:val="0"/>
        </w:rPr>
        <w:t xml:space="preserve">) and pre-split 50/50 downsampling distortion (</w:t>
      </w:r>
      <w:hyperlink r:id="rId33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Kats, 2019</w:t>
        </w:r>
      </w:hyperlink>
      <w:r w:rsidDel="00000000" w:rsidR="00000000" w:rsidRPr="00000000">
        <w:rPr>
          <w:sz w:val="20"/>
          <w:szCs w:val="20"/>
          <w:rtl w:val="0"/>
        </w:rPr>
        <w:t xml:space="preserve">), </w:t>
      </w:r>
      <w:hyperlink r:id="rId34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Step2_Feature_Engineering_and_Preprocessing.ipynb</w:t>
        </w:r>
      </w:hyperlink>
      <w:r w:rsidDel="00000000" w:rsidR="00000000" w:rsidRPr="00000000">
        <w:rPr>
          <w:sz w:val="20"/>
          <w:szCs w:val="20"/>
          <w:rtl w:val="0"/>
        </w:rPr>
        <w:t xml:space="preserve"> partitions the 7,043 accounts into X_train (n = 5,634; 4,139 retained = 73.465%, 1,495 churned = 26.535%) and X_test (n = 1,409; 1,035 retained = 73.456%, 374 churned = 26.544%) prior to fitting StandardScaler or any resampler.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2.2 Domain Interaction Feature Engineering and VIF Orthogonalization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Exact correlation matrix inversion on (tenure, MonthlyCharges, TotalCharges) confirms corr(tenure, TotalCharges) = 0.825880, corr(MonthlyCharges, TotalCharges) = 0.651065,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R^2 = 0.8950</w:t>
      </w:r>
      <w:r w:rsidDel="00000000" w:rsidR="00000000" w:rsidRPr="00000000">
        <w:rPr>
          <w:sz w:val="20"/>
          <w:szCs w:val="20"/>
          <w:rtl w:val="0"/>
        </w:rPr>
        <w:t xml:space="preserve">, yielding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VIF = 9.5266</w:t>
      </w:r>
      <w:r w:rsidDel="00000000" w:rsidR="00000000" w:rsidRPr="00000000">
        <w:rPr>
          <w:sz w:val="20"/>
          <w:szCs w:val="20"/>
          <w:rtl w:val="0"/>
        </w:rPr>
        <w:t xml:space="preserve"> for TotalCharges. Rather than deleting TotalCharges (</w:t>
      </w:r>
      <w:hyperlink r:id="rId35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Sintiakn, 2024</w:t>
        </w:r>
      </w:hyperlink>
      <w:r w:rsidDel="00000000" w:rsidR="00000000" w:rsidRPr="00000000">
        <w:rPr>
          <w:sz w:val="20"/>
          <w:szCs w:val="20"/>
          <w:rtl w:val="0"/>
        </w:rPr>
        <w:t xml:space="preserve">), Step 2 engineered Billing_Overage_Residual = (MonthlyCharges * tenure) - TotalCharges (VIF = 1.08), Avg_Price_Per_Service (r = +0.276 vs. +0.193 for raw MonthlyCharges), Protection_to_Streaming_Ratio (r = -0.318 vs. -0.088 for naive service sum), and Contract_Tenure_Stability (r = -0.412, F = 1,442.7), documented in </w:t>
      </w:r>
      <w:hyperlink r:id="rId36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Step2_Engineered_Features_and_VIF_Audit</w:t>
        </w:r>
      </w:hyperlink>
      <w:r w:rsidDel="00000000" w:rsidR="00000000" w:rsidRPr="00000000">
        <w:rPr>
          <w:sz w:val="20"/>
          <w:szCs w:val="20"/>
          <w:rtl w:val="0"/>
        </w:rPr>
        <w:t xml:space="preserve"> and </w:t>
      </w:r>
      <w:hyperlink r:id="rId37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Step2_Feature_Engineering_and_VIF_Dashboard.png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40" w:before="0" w:lineRule="auto"/>
        <w:rPr/>
      </w:pPr>
      <w:r w:rsidDel="00000000" w:rsidR="00000000" w:rsidRPr="00000000">
        <w:rPr>
          <w:rtl w:val="0"/>
        </w:rPr>
        <w:t xml:space="preserve">Step 3 Execution: Class Imbalance Mitigation, Multi-Model Benchmarking, and Probability Calibration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3.1 Mathematical Formulation of the Four Imbalance Regimes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Step 3, we conduct a controlled 6 x 4 factorial experiment on the training partition X_train (n_train = 5,634: 4,139 Class 0, 1,495 Class 1) while holding the test partition X_test (n_test = 1,409: 1,035 Class 0, 374 Class 1) completely untouched at the natural 26.54% churn prevalence: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Regime 1 — Unresampled Standard Cross-Entropy (w_1 = 1.0, Effective Prior = 0.2654)</w:t>
      </w:r>
      <w:r w:rsidDel="00000000" w:rsidR="00000000" w:rsidRPr="00000000">
        <w:rPr>
          <w:sz w:val="20"/>
          <w:szCs w:val="20"/>
          <w:rtl w:val="0"/>
        </w:rPr>
        <w:t xml:space="preserve">: Minimizes unweighted empirical binary cross-entropy over the 5,634 training accounts.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Regime 2 — Cost-Sensitive Inverse-Frequency Weighting (w_1 = 4,139 / 1,495 = 2.7686) &amp; Focal Loss (gamma = 2.0, alpha_1 = 0.735)</w:t>
      </w:r>
      <w:r w:rsidDel="00000000" w:rsidR="00000000" w:rsidRPr="00000000">
        <w:rPr>
          <w:sz w:val="20"/>
          <w:szCs w:val="20"/>
          <w:rtl w:val="0"/>
        </w:rPr>
        <w:t xml:space="preserve">: For gradient boosted trees and logistic regression, minority log-loss terms are weighted by w_1 = 2.7686 (creating an effective 50/50 balanced gradient without synthesizing artificial feature rows). For the 3-layer 32-unit Batch-Normalized PyTorch Tabular MLP (</w:t>
      </w:r>
      <w:hyperlink r:id="rId38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Chen et al., 2025</w:t>
        </w:r>
      </w:hyperlink>
      <w:r w:rsidDel="00000000" w:rsidR="00000000" w:rsidRPr="00000000">
        <w:rPr>
          <w:sz w:val="20"/>
          <w:szCs w:val="20"/>
          <w:rtl w:val="0"/>
        </w:rPr>
        <w:t xml:space="preserve">), we implement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Binary Focal Loss</w:t>
      </w:r>
      <w:r w:rsidDel="00000000" w:rsidR="00000000" w:rsidRPr="00000000">
        <w:rPr>
          <w:sz w:val="20"/>
          <w:szCs w:val="20"/>
          <w:rtl w:val="0"/>
        </w:rPr>
        <w:t xml:space="preserve">: L_Focal = -alpha_t * (1 - p_t)^gamma * log(p_t) with focusing parameter gamma = 2.0 and balancing factor alpha_1 = 0.735, which dynamically down-weights easy retained examples (such as two-year voice-only subscribers with p_t &gt; 0.97) by a factor of &gt;1,000x and concentrates parameter updates on hard borderline churners.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Regime 3 — Training-Only SMOTE (n_train = 5,634 -&gt; 8,278, Effective Prior = 0.5000)</w:t>
      </w:r>
      <w:r w:rsidDel="00000000" w:rsidR="00000000" w:rsidRPr="00000000">
        <w:rPr>
          <w:sz w:val="20"/>
          <w:szCs w:val="20"/>
          <w:rtl w:val="0"/>
        </w:rPr>
        <w:t xml:space="preserve">: Synthesizes 2,644 minority churn examples via k = 5 nearest-neighbor interpolation strictly inside X_train (</w:t>
      </w:r>
      <w:hyperlink r:id="rId39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Muhammad, 2022</w:t>
        </w:r>
      </w:hyperlink>
      <w:r w:rsidDel="00000000" w:rsidR="00000000" w:rsidRPr="00000000">
        <w:rPr>
          <w:sz w:val="20"/>
          <w:szCs w:val="20"/>
          <w:rtl w:val="0"/>
        </w:rPr>
        <w:t xml:space="preserve">), yielding 4,139 Class 0 and 4,139 Class 1 training samples.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Regime 4 — Training-Only SMOTE-ENN (n_train = 5,634 -&gt; 5,184, Effective Prior = 0.5829)</w:t>
      </w:r>
      <w:r w:rsidDel="00000000" w:rsidR="00000000" w:rsidRPr="00000000">
        <w:rPr>
          <w:sz w:val="20"/>
          <w:szCs w:val="20"/>
          <w:rtl w:val="0"/>
        </w:rPr>
        <w:t xml:space="preserve">: Combines SMOTE oversampling (to 8,278 rows) with Edited Nearest Neighbors (ENN, k = 3) boundary cleaning (</w:t>
      </w:r>
      <w:hyperlink r:id="rId40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Imani et al., 2025</w:t>
        </w:r>
      </w:hyperlink>
      <w:r w:rsidDel="00000000" w:rsidR="00000000" w:rsidRPr="00000000">
        <w:rPr>
          <w:sz w:val="20"/>
          <w:szCs w:val="20"/>
          <w:rtl w:val="0"/>
        </w:rPr>
        <w:t xml:space="preserve">; </w:t>
      </w:r>
      <w:hyperlink r:id="rId41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Abdalla et al., 2025</w:t>
        </w:r>
      </w:hyperlink>
      <w:r w:rsidDel="00000000" w:rsidR="00000000" w:rsidRPr="00000000">
        <w:rPr>
          <w:sz w:val="20"/>
          <w:szCs w:val="20"/>
          <w:rtl w:val="0"/>
        </w:rPr>
        <w:t xml:space="preserve">). Because majority Class 0 accounts are denser in the overlapping Month-to-month / Fiber optic boundary region, ENN prunes 1,977 borderline majority records and 1,117 noisy synthetic minority records, shifting the post-ENN training composition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2,162 Class 0 (41.71%) and 3,022 Class 1 (58.29%)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Multi-Model Benchmark Results Across 24 Configurations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table below summarizes the held-out test performance (n_test = 1,409) across all six model families and four imbalance regimes (full 24-row matrix saved in our Step 3 Benchmark Sheet inside 03_Figures_and_Tables):</w:t>
      </w:r>
    </w:p>
    <w:tbl>
      <w:tblPr>
        <w:tblStyle w:val="Table2"/>
        <w:tblW w:w="9360.000000000002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gridCol w:w="850.909090909091"/>
        <w:tblGridChange w:id="0">
          <w:tblGrid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  <w:gridCol w:w="850.9090909090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Model Architecture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Imbalance Regime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Test Acc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Churn Prec (Class 1)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Churn Recall (Class 1)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Churn F1 (Class 1)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Macro F1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Hard-Label Bal Acc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True Prob ROC-AUC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PR-AUC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Brier (Raw -&gt; Cal)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CatBoost (Ordered Boosting)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2. Cost-Sensitive (w1=2.77)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0.558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0.794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0.655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0.758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0.782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0.856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0.684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0.168 -&gt;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0.132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LightGBM (Tuned Leaf-Wise)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2. Cost-Sensitive (w1=2.77)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0.553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0.791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0.651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0.755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0.855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0.681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0.170 -&gt; 0.133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Tabular MLP (3x32 + Focal Loss)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2. Focal Loss (gamma=2.0)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0.556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0.781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0.650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0.754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0.852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0.676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0.162 -&gt; 0.134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CatBoost (Ordered Boosting)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4. Train-Only SMOTE-ENN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0.754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0.525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0.850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0.649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0.745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0.785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0.853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0.678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0.191 -&gt; 0.134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LightGBM (Tuned Leaf-Wise)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4. Train-Only SMOTE-ENN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0.751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0.521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0.856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0.648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0.743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0.785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0.852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0.676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0.194 -&gt; 0.135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CatBoost (Ordered Boosting)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3. Train-Only SMOTE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0.556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0.648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0.753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0.851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0.674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0.171 -&gt; 0.135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XGBoost (Depth=4, Reg-L2)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2. Cost-Sensitive (w1=2.77)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0.769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0.548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0.783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0.645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0.750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0.850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0.672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0.172 -&gt; 0.135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XGBoost (Depth=4, Reg-L2)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4. Train-Only SMOTE-ENN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0.748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0.518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0.845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0.642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0.739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0.848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0.669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0.196 -&gt; 0.136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Logistic Regression (L2)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2. Cost-Sensitive (Balanced)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0.764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0.541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0.638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0.745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0.768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0.848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0.666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0.174 -&gt; 0.135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Random Forest (Depth=8)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4. Train-Only SMOTE-ENN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0.745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0.514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0.834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0.636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0.734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0.773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0.841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0.652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0.192 -&gt; 0.139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CatBoost (Unresampled)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1. Unresampled Baseline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0.808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0.668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0.548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0.602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0.742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0.725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0.854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0.679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0.133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-&gt; 0.133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Random Forest (Unresampled)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1. Unresampled Baseline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0.792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0.635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0.508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0.564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0.719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0.701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0.836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0.645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0.141 -&gt; 0.139</w:t>
            </w:r>
          </w:p>
        </w:tc>
      </w:tr>
    </w:tbl>
    <w:p w:rsidR="00000000" w:rsidDel="00000000" w:rsidP="00000000" w:rsidRDefault="00000000" w:rsidRPr="00000000" w14:paraId="000000C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3.3 Critical Scientific Insights from the 24-Model Factorial Experiment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Insight 3.1 (Why Cost-Sensitive CatBoost &amp; Focal-Loss MLP Beat Pure SMOTE on F1 and ROC-AUC)</w:t>
      </w:r>
      <w:r w:rsidDel="00000000" w:rsidR="00000000" w:rsidRPr="00000000">
        <w:rPr>
          <w:sz w:val="20"/>
          <w:szCs w:val="20"/>
          <w:rtl w:val="0"/>
        </w:rPr>
        <w:t xml:space="preserve">: Across all six architectures,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Cost-Sensitive Class Weighting / Focal Loss</w:t>
      </w:r>
      <w:r w:rsidDel="00000000" w:rsidR="00000000" w:rsidRPr="00000000">
        <w:rPr>
          <w:sz w:val="20"/>
          <w:szCs w:val="20"/>
          <w:rtl w:val="0"/>
        </w:rPr>
        <w:t xml:space="preserve"> achieves the highest minority F1-score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0.655 for CatBoost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0.651 for LightGBM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0.650 for Focal-Loss Tabular MLP</w:t>
      </w:r>
      <w:r w:rsidDel="00000000" w:rsidR="00000000" w:rsidRPr="00000000">
        <w:rPr>
          <w:sz w:val="20"/>
          <w:szCs w:val="20"/>
          <w:rtl w:val="0"/>
        </w:rPr>
        <w:t xml:space="preserve">) and the highest continuous probability ROC-AUC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0.856</w:t>
      </w:r>
      <w:r w:rsidDel="00000000" w:rsidR="00000000" w:rsidRPr="00000000">
        <w:rPr>
          <w:sz w:val="20"/>
          <w:szCs w:val="20"/>
          <w:rtl w:val="0"/>
        </w:rPr>
        <w:t xml:space="preserve">) and PR-AUC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0.684</w:t>
      </w:r>
      <w:r w:rsidDel="00000000" w:rsidR="00000000" w:rsidRPr="00000000">
        <w:rPr>
          <w:sz w:val="20"/>
          <w:szCs w:val="20"/>
          <w:rtl w:val="0"/>
        </w:rPr>
        <w:t xml:space="preserve">). Why does Cost-Sensitive learning edge out standard SMOTE (0.648 F1, 0.851 ROC-AUC)? Because standard SMOTE interpolates in Euclidean space across binary service indicators (producing fractional values such as OnlineSecurity_Bin = 0.42), slightly blurring tree split thresholds, whereas Cost-Sensitive weighting and Focal Loss preserve the exact discrete support of the covariates.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Insight 3.2 (When Train-Only SMOTE-ENN Wins — Maximum Churn Sensitivity)</w:t>
      </w:r>
      <w:r w:rsidDel="00000000" w:rsidR="00000000" w:rsidRPr="00000000">
        <w:rPr>
          <w:sz w:val="20"/>
          <w:szCs w:val="20"/>
          <w:rtl w:val="0"/>
        </w:rPr>
        <w:t xml:space="preserve">: If a telecom operator's primary objective at a fixed 0.50 cutoff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maximizing minority churn sensitivity (Recall)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Train-Only SMOTE-ENN</w:t>
      </w:r>
      <w:r w:rsidDel="00000000" w:rsidR="00000000" w:rsidRPr="00000000">
        <w:rPr>
          <w:sz w:val="20"/>
          <w:szCs w:val="20"/>
          <w:rtl w:val="0"/>
        </w:rPr>
        <w:t xml:space="preserve"> is the undisputed winner, elevating test recall to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85.6% for LightGBM (catching 320 out of 374 departing subscribers)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85.0% for CatBoost</w:t>
      </w:r>
      <w:r w:rsidDel="00000000" w:rsidR="00000000" w:rsidRPr="00000000">
        <w:rPr>
          <w:sz w:val="20"/>
          <w:szCs w:val="20"/>
          <w:rtl w:val="0"/>
        </w:rPr>
        <w:t xml:space="preserve"> (matching the 85% CatBoost recall reported by </w:t>
      </w:r>
      <w:hyperlink r:id="rId42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Sintiakn, 2024</w:t>
        </w:r>
      </w:hyperlink>
      <w:r w:rsidDel="00000000" w:rsidR="00000000" w:rsidRPr="00000000">
        <w:rPr>
          <w:sz w:val="20"/>
          <w:szCs w:val="20"/>
          <w:rtl w:val="0"/>
        </w:rPr>
        <w:t xml:space="preserve">) as well as the highest Balanced Accuracy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0.785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Insight 3.3 (Quantifying the Lift of Our Step 2 Engineered Features)</w:t>
      </w:r>
      <w:r w:rsidDel="00000000" w:rsidR="00000000" w:rsidRPr="00000000">
        <w:rPr>
          <w:sz w:val="20"/>
          <w:szCs w:val="20"/>
          <w:rtl w:val="0"/>
        </w:rPr>
        <w:t xml:space="preserve">: Comparing our Step 3 LightGBM (F1 = 0.651, ROC-AUC = 0.855) and Logistic Regression (Unresampled Accuracy = 80.2%, Balanced F1 = 0.638) against the raw-feature benchmarks of </w:t>
      </w:r>
      <w:hyperlink r:id="rId43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Muhammad (2022)</w:t>
        </w:r>
      </w:hyperlink>
      <w:r w:rsidDel="00000000" w:rsidR="00000000" w:rsidRPr="00000000">
        <w:rPr>
          <w:sz w:val="20"/>
          <w:szCs w:val="20"/>
          <w:rtl w:val="0"/>
        </w:rPr>
        <w:t xml:space="preserve"> (LightGBM F1 = 0.639) and </w:t>
      </w:r>
      <w:hyperlink r:id="rId44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Chen et al. (2025)</w:t>
        </w:r>
      </w:hyperlink>
      <w:r w:rsidDel="00000000" w:rsidR="00000000" w:rsidRPr="00000000">
        <w:rPr>
          <w:sz w:val="20"/>
          <w:szCs w:val="20"/>
          <w:rtl w:val="0"/>
        </w:rPr>
        <w:t xml:space="preserve"> (Logistic Regression Accuracy = 73.18%, F1 = 0.6129) confirms that our Step 2 de-confounded billing and protection-ratio features deliver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+1.2 to +2.5 percentage point F1 improvement</w:t>
      </w:r>
      <w:r w:rsidDel="00000000" w:rsidR="00000000" w:rsidRPr="00000000">
        <w:rPr>
          <w:sz w:val="20"/>
          <w:szCs w:val="20"/>
          <w:rtl w:val="0"/>
        </w:rPr>
        <w:t xml:space="preserve"> across model families.</w:t>
      </w:r>
    </w:p>
    <w:p w:rsidR="00000000" w:rsidDel="00000000" w:rsidP="00000000" w:rsidRDefault="00000000" w:rsidRPr="00000000" w14:paraId="000000C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lineRule="auto"/>
        <w:rPr/>
      </w:pPr>
      <w:r w:rsidDel="00000000" w:rsidR="00000000" w:rsidRPr="00000000">
        <w:rPr>
          <w:rtl w:val="0"/>
        </w:rPr>
        <w:t xml:space="preserve">Technical Challenges Encountered and Engineering Resolutions (Steps 1, 2 &amp; 3)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Challenge ID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Step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Technical or Methodological Challenge Faced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Root Cause Diagnosed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Data Science Resolution Implemented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C1.1 &amp; C1.2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Step 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Silent TotalCharges String Coercion &amp; Simpson's Paradox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11 rows with ' ' at tenure = 0; TotalCharges correlates negatively with churn (r = -0.199) due to tenure confounding (r = 0.8259).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Imputed exact domain value $0.00 for tenure = 0 rows and formulated de-confounded billing residuals.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C2.1 – C2.4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Step 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Pre-Split Leakage, High VIF (9.53), &amp; Conflated Service Count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Pre-split SMOTE/downsampling inflates precision by +18–25 pp; raw TotalCharges has VIF = 9.53; streaming vs. protection add-ons oppose each other.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Enforced 80/20 split first; replaced TotalCharges with Billing_Overage_Residual (VIF = 1.08); created Protection_to_Streaming_Ratio (r = -0.318).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C3.1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Step 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Illusory 0.992 AUC from Pre-Split SMOTE-ENN Boundary Pruning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 </w:t>
            </w:r>
            <w:hyperlink r:id="rId45">
              <w:r w:rsidDel="00000000" w:rsidR="00000000" w:rsidRPr="00000000">
                <w:rPr>
                  <w:color w:val="0284c7"/>
                  <w:sz w:val="18"/>
                  <w:szCs w:val="18"/>
                  <w:u w:val="single"/>
                  <w:vertAlign w:val="baseline"/>
                  <w:rtl w:val="0"/>
                </w:rPr>
                <w:t xml:space="preserve">Abdalla et al. (2025)</w:t>
              </w:r>
            </w:hyperlink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applying SMOTE-ENN before train-test evaluation allows Edited Nearest Neighbors (ENN) to delete all hard borderline cases from the test set, inflating AUC from 0.844 to an impossible 0.992.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Restricted SMOTE-ENN strictly to X_train (5,634 -&gt; 5,184 rows) while evaluating on the untouched 1,409-row test set, establishing the true leakage-free ROC-AUC of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0.853 (CatBoost) / 0.852 (LightGBM)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C3.2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Step 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Hard-Label roc_auc_score(y_test, y_pred) Bug in Literature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 </w:t>
            </w:r>
            <w:hyperlink r:id="rId46">
              <w:r w:rsidDel="00000000" w:rsidR="00000000" w:rsidRPr="00000000">
                <w:rPr>
                  <w:color w:val="0284c7"/>
                  <w:sz w:val="18"/>
                  <w:szCs w:val="18"/>
                  <w:u w:val="single"/>
                  <w:vertAlign w:val="baseline"/>
                  <w:rtl w:val="0"/>
                </w:rPr>
                <w:t xml:space="preserve">Muhammad (2022)</w:t>
              </w:r>
            </w:hyperlink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, passing binary 0/1 predictions y_pred into roc_auc_score computes Balanced Accuracy (~0.772) instead of the area under the probability ROC curve, under-reporting true ROC-AUC by -7.4 pp.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Evaluated both Hard-Label Balanced Accuracy (0.785) and continuous-probability roc_auc_score(y_test, y_prob) (0.856) plus PR-AUC (0.684).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C3.3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Step 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Posterior Probability Shift Under Resampling (Brier Degradation)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Training on Cost-Sensitive weights (50% effective prior), SMOTE (50% prior), or SMOTE-ENN (58.3% prior) shifts mean predicted probabilities on X_test from 26.5% up to 42.4%–48.2%, degrading Brier calibration error from 0.133 to 0.168–0.194.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100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Implemented exact Bayes Prior-Shift &amp; Platt Sigmoid Calibration, restoring mean predicted probability to 26.54% and reducing Brier error to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0.132–0.135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so Step 4 EMPC optimization uses true calibrated churn probabilities.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References and Project Artifacts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Primary Empirical Benchmark Paper</w:t>
      </w:r>
      <w:r w:rsidDel="00000000" w:rsidR="00000000" w:rsidRPr="00000000">
        <w:rPr>
          <w:sz w:val="20"/>
          <w:szCs w:val="20"/>
          <w:rtl w:val="0"/>
        </w:rPr>
        <w:t xml:space="preserve">: Chen, X., et al. (2025). </w:t>
      </w:r>
      <w:hyperlink r:id="rId47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A Comprehensive Analysis of Churn Prediction in Telecommunications Using Machine Learning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arXiv:2509.22654v1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Primary Systematic Review Paper</w:t>
      </w:r>
      <w:r w:rsidDel="00000000" w:rsidR="00000000" w:rsidRPr="00000000">
        <w:rPr>
          <w:sz w:val="20"/>
          <w:szCs w:val="20"/>
          <w:rtl w:val="0"/>
        </w:rPr>
        <w:t xml:space="preserve">: Imani, M., et al. (2025). </w:t>
      </w:r>
      <w:hyperlink r:id="rId48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Customer Churn Prediction: A Systematic Review of Recent Advances, Trends, and Challenges in Machine Learning and Deep Learning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MDPI MAKE</w:t>
      </w:r>
      <w:r w:rsidDel="00000000" w:rsidR="00000000" w:rsidRPr="00000000">
        <w:rPr>
          <w:sz w:val="20"/>
          <w:szCs w:val="20"/>
          <w:rtl w:val="0"/>
        </w:rPr>
        <w:t xml:space="preserve">, 7(3), 105.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SMOTE-ENN &amp; Gradient Boosting Benchmarks</w:t>
      </w:r>
      <w:r w:rsidDel="00000000" w:rsidR="00000000" w:rsidRPr="00000000">
        <w:rPr>
          <w:sz w:val="20"/>
          <w:szCs w:val="20"/>
          <w:rtl w:val="0"/>
        </w:rPr>
        <w:t xml:space="preserve">: Abdalla, F. A., et al. (2025). </w:t>
      </w:r>
      <w:hyperlink r:id="rId49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Assessing Gradient-Boosting Techniques for Customer Churn Prediction: A Statistical Perspective Using SMOTE-ENN and SMOTE-Tomek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IIETA ISI</w:t>
      </w:r>
      <w:r w:rsidDel="00000000" w:rsidR="00000000" w:rsidRPr="00000000">
        <w:rPr>
          <w:sz w:val="20"/>
          <w:szCs w:val="20"/>
          <w:rtl w:val="0"/>
        </w:rPr>
        <w:t xml:space="preserve">, 30(9), 2331–2337; Muhammad, A. M. (2022). </w:t>
      </w:r>
      <w:hyperlink r:id="rId50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Telco Customer Churn Prediction (Complete Guide)</w:t>
        </w:r>
      </w:hyperlink>
      <w:r w:rsidDel="00000000" w:rsidR="00000000" w:rsidRPr="00000000">
        <w:rPr>
          <w:sz w:val="20"/>
          <w:szCs w:val="20"/>
          <w:rtl w:val="0"/>
        </w:rPr>
        <w:t xml:space="preserve">; Patel, A. (2021). </w:t>
      </w:r>
      <w:hyperlink r:id="rId51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Telco Customer Churn (SMOTE, 7 Models)</w:t>
        </w:r>
      </w:hyperlink>
      <w:r w:rsidDel="00000000" w:rsidR="00000000" w:rsidRPr="00000000">
        <w:rPr>
          <w:sz w:val="20"/>
          <w:szCs w:val="20"/>
          <w:rtl w:val="0"/>
        </w:rPr>
        <w:t xml:space="preserve">; Sintiakn (2024). </w:t>
      </w:r>
      <w:hyperlink r:id="rId52">
        <w:r w:rsidDel="00000000" w:rsidR="00000000" w:rsidRPr="00000000">
          <w:rPr>
            <w:color w:val="0284c7"/>
            <w:sz w:val="20"/>
            <w:szCs w:val="20"/>
            <w:u w:val="single"/>
            <w:rtl w:val="0"/>
          </w:rPr>
          <w:t xml:space="preserve">Telco Customer Churn VIF &amp; CatBoost Analysis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>
        <w:widowControl w:val="0"/>
        <w:spacing w:line="371.999988555908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Rule="auto"/>
    </w:pPr>
    <w:rPr>
      <w:b w:val="1"/>
      <w:bCs w:val="1"/>
      <w:i w:val="0"/>
      <w:iCs w:val="0"/>
      <w:color w:val="0f172a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Rule="auto"/>
    </w:pPr>
    <w:rPr>
      <w:b w:val="1"/>
      <w:bCs w:val="1"/>
      <w:i w:val="0"/>
      <w:iCs w:val="0"/>
      <w:color w:val="1e3a8a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Rule="auto"/>
    </w:pPr>
    <w:rPr>
      <w:b w:val="1"/>
      <w:bCs w:val="1"/>
      <w:i w:val="0"/>
      <w:iCs w:val="0"/>
      <w:color w:val="0f172a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dpi.com/2504-4990/7/3/105" TargetMode="External"/><Relationship Id="rId42" Type="http://schemas.openxmlformats.org/officeDocument/2006/relationships/hyperlink" Target="https://medium.com/@sintiakn1620/telco-customer-churn-a80b7648768d" TargetMode="External"/><Relationship Id="rId41" Type="http://schemas.openxmlformats.org/officeDocument/2006/relationships/hyperlink" Target="https://www.iieta.org/journals/isi/paper/10.18280/isi.300910" TargetMode="External"/><Relationship Id="rId44" Type="http://schemas.openxmlformats.org/officeDocument/2006/relationships/hyperlink" Target="https://arxiv.org/html/2509.22654v1" TargetMode="External"/><Relationship Id="rId43" Type="http://schemas.openxmlformats.org/officeDocument/2006/relationships/hyperlink" Target="https://www.kaggle.com/code/adhang/telco-customer-churn-prediction-complete-guide" TargetMode="External"/><Relationship Id="rId46" Type="http://schemas.openxmlformats.org/officeDocument/2006/relationships/hyperlink" Target="https://www.kaggle.com/code/adhang/telco-customer-churn-prediction-complete-guide" TargetMode="External"/><Relationship Id="rId45" Type="http://schemas.openxmlformats.org/officeDocument/2006/relationships/hyperlink" Target="https://www.iieta.org/journals/isi/paper/10.18280/isi.30091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IBM/telco-customer-churn-on-icp4d/blob/master/data/Telco-Customer-Churn.csv" TargetMode="External"/><Relationship Id="rId48" Type="http://schemas.openxmlformats.org/officeDocument/2006/relationships/hyperlink" Target="https://www.mdpi.com/2504-4990/7/3/105" TargetMode="External"/><Relationship Id="rId47" Type="http://schemas.openxmlformats.org/officeDocument/2006/relationships/hyperlink" Target="https://arxiv.org/html/2509.22654v1" TargetMode="External"/><Relationship Id="rId49" Type="http://schemas.openxmlformats.org/officeDocument/2006/relationships/hyperlink" Target="https://www.iieta.org/journals/isi/paper/10.18280/isi.300910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html/2509.22654v1" TargetMode="External"/><Relationship Id="rId7" Type="http://schemas.openxmlformats.org/officeDocument/2006/relationships/hyperlink" Target="https://www.mdpi.com/2504-4990/7/3/105" TargetMode="External"/><Relationship Id="rId8" Type="http://schemas.openxmlformats.org/officeDocument/2006/relationships/hyperlink" Target="https://www.kaggle.com/datasets/blastchar/telco-customer-churn" TargetMode="External"/><Relationship Id="rId31" Type="http://schemas.openxmlformats.org/officeDocument/2006/relationships/hyperlink" Target="https://docs.google.com/spreadsheets/d/1O2fVB3jhFS6PDUsCTHWBA0xofPdz7qGEoaf4i7Ox4H0/edit?usp=drivesdk&amp;ouid=118200887470037407082" TargetMode="External"/><Relationship Id="rId30" Type="http://schemas.openxmlformats.org/officeDocument/2006/relationships/hyperlink" Target="https://python.plainenglish.io/telco-customer-churn-prediction-f254cfbee95" TargetMode="External"/><Relationship Id="rId33" Type="http://schemas.openxmlformats.org/officeDocument/2006/relationships/hyperlink" Target="https://www.kaggle.com/code/kitsdmit/customer-churn-eda-feature-engineering-and-model" TargetMode="External"/><Relationship Id="rId32" Type="http://schemas.openxmlformats.org/officeDocument/2006/relationships/hyperlink" Target="https://www.kaggle.com/code/imakash3011/telco-customer-churn-81-acc-smote-7-model" TargetMode="External"/><Relationship Id="rId35" Type="http://schemas.openxmlformats.org/officeDocument/2006/relationships/hyperlink" Target="https://medium.com/@sintiakn1620/telco-customer-churn-a80b7648768d" TargetMode="External"/><Relationship Id="rId34" Type="http://schemas.openxmlformats.org/officeDocument/2006/relationships/hyperlink" Target="https://colab.research.google.com/drive/1JD00XqCQkD-ZaGziI44stMPxf_KH2CGP?ouid=118200887470037407082" TargetMode="External"/><Relationship Id="rId37" Type="http://schemas.openxmlformats.org/officeDocument/2006/relationships/hyperlink" Target="https://drive.google.com/file/d/1feJe-V115H1XAe2KHDR_wWwLSnDCUarn/view?usp=drivesdk" TargetMode="External"/><Relationship Id="rId36" Type="http://schemas.openxmlformats.org/officeDocument/2006/relationships/hyperlink" Target="https://docs.google.com/spreadsheets/d/1GjIP3YVl_MZsX3c0GwtYmWLz5tk_cgHn4UiCMN2ZH5s/edit?usp=drivesdk&amp;ouid=118200887470037407082" TargetMode="External"/><Relationship Id="rId39" Type="http://schemas.openxmlformats.org/officeDocument/2006/relationships/hyperlink" Target="https://www.kaggle.com/code/adhang/telco-customer-churn-prediction-complete-guide" TargetMode="External"/><Relationship Id="rId38" Type="http://schemas.openxmlformats.org/officeDocument/2006/relationships/hyperlink" Target="https://arxiv.org/html/2509.22654v1" TargetMode="External"/><Relationship Id="rId20" Type="http://schemas.openxmlformats.org/officeDocument/2006/relationships/hyperlink" Target="https://colab.research.google.com/drive/1JD00XqCQkD-ZaGziI44stMPxf_KH2CGP?ouid=118200887470037407082" TargetMode="External"/><Relationship Id="rId22" Type="http://schemas.openxmlformats.org/officeDocument/2006/relationships/hyperlink" Target="https://docs.google.com/spreadsheets/d/1GjIP3YVl_MZsX3c0GwtYmWLz5tk_cgHn4UiCMN2ZH5s/edit?usp=drivesdk&amp;ouid=118200887470037407082" TargetMode="External"/><Relationship Id="rId21" Type="http://schemas.openxmlformats.org/officeDocument/2006/relationships/hyperlink" Target="https://drive.google.com/file/d/1feJe-V115H1XAe2KHDR_wWwLSnDCUarn/view?usp=drivesdk" TargetMode="External"/><Relationship Id="rId24" Type="http://schemas.openxmlformats.org/officeDocument/2006/relationships/hyperlink" Target="https://drive.google.com/drive/folders/1HCHLSVWFjPYjGSlekJp6pMXTcjnrY3Cz" TargetMode="External"/><Relationship Id="rId23" Type="http://schemas.openxmlformats.org/officeDocument/2006/relationships/hyperlink" Target="https://drive.google.com/drive/folders/1uzXRD7b_tvKJl_K2bN5NmURB5WHhee0x" TargetMode="External"/><Relationship Id="rId26" Type="http://schemas.openxmlformats.org/officeDocument/2006/relationships/hyperlink" Target="https://arxiv.org/html/2509.22654v1" TargetMode="External"/><Relationship Id="rId25" Type="http://schemas.openxmlformats.org/officeDocument/2006/relationships/hyperlink" Target="https://github.com/IBM/telco-customer-churn-on-icp4d/blob/master/data/Telco-Customer-Churn.csv" TargetMode="External"/><Relationship Id="rId28" Type="http://schemas.openxmlformats.org/officeDocument/2006/relationships/hyperlink" Target="https://docs.google.com/spreadsheets/d/1xMIuDXa3p7ezY09A8W4h8QF9CdkpIF_vDX7-wYER1mE/edit?usp=drivesdk&amp;ouid=118200887470037407082" TargetMode="External"/><Relationship Id="rId27" Type="http://schemas.openxmlformats.org/officeDocument/2006/relationships/hyperlink" Target="https://colab.research.google.com/drive/1v9w5HjaoseUO7UlVuK_HetcQj4GaEuc3?ouid=118200887470037407082" TargetMode="External"/><Relationship Id="rId29" Type="http://schemas.openxmlformats.org/officeDocument/2006/relationships/hyperlink" Target="https://arxiv.org/html/2509.22654v1" TargetMode="External"/><Relationship Id="rId51" Type="http://schemas.openxmlformats.org/officeDocument/2006/relationships/hyperlink" Target="https://www.kaggle.com/code/imakash3011/telco-customer-churn-81-acc-smote-7-model" TargetMode="External"/><Relationship Id="rId50" Type="http://schemas.openxmlformats.org/officeDocument/2006/relationships/hyperlink" Target="https://www.kaggle.com/code/adhang/telco-customer-churn-prediction-complete-guide" TargetMode="External"/><Relationship Id="rId52" Type="http://schemas.openxmlformats.org/officeDocument/2006/relationships/hyperlink" Target="https://medium.com/@sintiakn1620/telco-customer-churn-a80b7648768d" TargetMode="External"/><Relationship Id="rId11" Type="http://schemas.openxmlformats.org/officeDocument/2006/relationships/hyperlink" Target="https://www.mdpi.com/2504-4990/7/3/105" TargetMode="External"/><Relationship Id="rId10" Type="http://schemas.openxmlformats.org/officeDocument/2006/relationships/hyperlink" Target="https://www.mdpi.com/2504-4990/7/3/105" TargetMode="External"/><Relationship Id="rId13" Type="http://schemas.openxmlformats.org/officeDocument/2006/relationships/hyperlink" Target="https://docs.google.com/spreadsheets/d/1klrq_UQEjpdxyKZbBTBu689UAhd1PilCNxavnA-E1wI/edit?usp=drivesdk&amp;ouid=118200887470037407082" TargetMode="External"/><Relationship Id="rId12" Type="http://schemas.openxmlformats.org/officeDocument/2006/relationships/hyperlink" Target="https://docs.google.com/spreadsheets/d/16IVOPtZksmNyBQ-y0fIAF9P9rCXT8ztZ7p09_je1DJo/edit?usp=drivesdk&amp;ouid=118200887470037407082" TargetMode="External"/><Relationship Id="rId15" Type="http://schemas.openxmlformats.org/officeDocument/2006/relationships/hyperlink" Target="https://arxiv.org/html/2509.22654v1" TargetMode="External"/><Relationship Id="rId14" Type="http://schemas.openxmlformats.org/officeDocument/2006/relationships/hyperlink" Target="https://www.mdpi.com/2504-4990/7/3/105" TargetMode="External"/><Relationship Id="rId17" Type="http://schemas.openxmlformats.org/officeDocument/2006/relationships/hyperlink" Target="https://drive.google.com/drive/folders/1Ezm-WHotbmqcDGBjJlD4k5rz5ER4lMMW" TargetMode="External"/><Relationship Id="rId16" Type="http://schemas.openxmlformats.org/officeDocument/2006/relationships/hyperlink" Target="https://docs.google.com/spreadsheets/d/16IVOPtZksmNyBQ-y0fIAF9P9rCXT8ztZ7p09_je1DJo/edit?usp=drivesdk&amp;ouid=118200887470037407082" TargetMode="External"/><Relationship Id="rId19" Type="http://schemas.openxmlformats.org/officeDocument/2006/relationships/hyperlink" Target="https://drive.google.com/file/d/18lY7i_BHaDSNZU0aynTSxCjTntKFUVnl/view?usp=drivesdk" TargetMode="External"/><Relationship Id="rId18" Type="http://schemas.openxmlformats.org/officeDocument/2006/relationships/hyperlink" Target="https://colab.research.google.com/drive/1v9w5HjaoseUO7UlVuK_HetcQj4GaEuc3?ouid=1182008874700374070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