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Profit-Driven, Fairness-Audited, and Explainable Telecom Customer Churn Prediction: A Step-by-Step Scientific Investigation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20" w:lineRule="auto"/>
        <w:rPr>
          <w:color w:val="475569"/>
          <w:sz w:val="20"/>
          <w:szCs w:val="20"/>
        </w:rPr>
      </w:pPr>
      <w:r w:rsidDel="00000000" w:rsidR="00000000" w:rsidRPr="00000000">
        <w:rPr>
          <w:b w:val="1"/>
          <w:bCs w:val="1"/>
          <w:color w:val="475569"/>
          <w:sz w:val="20"/>
          <w:szCs w:val="20"/>
          <w:rtl w:val="0"/>
        </w:rPr>
        <w:t xml:space="preserve">Project Workspace:</w:t>
      </w:r>
      <w:r w:rsidDel="00000000" w:rsidR="00000000" w:rsidRPr="00000000">
        <w:rPr>
          <w:color w:val="475569"/>
          <w:sz w:val="20"/>
          <w:szCs w:val="20"/>
          <w:rtl w:val="0"/>
        </w:rPr>
        <w:t xml:space="preserve"> </w:t>
      </w:r>
      <w:hyperlink r:id="rId6">
        <w:r w:rsidDel="00000000" w:rsidR="00000000" w:rsidRPr="00000000">
          <w:rPr>
            <w:color w:val="0000ee"/>
            <w:sz w:val="20"/>
            <w:szCs w:val="20"/>
            <w:u w:val="single"/>
            <w:rtl w:val="0"/>
          </w:rPr>
          <w:t xml:space="preserve">Project1_Telecom_Churn_EMPC_Fairness_XAI</w:t>
        </w:r>
      </w:hyperlink>
      <w:r w:rsidDel="00000000" w:rsidR="00000000" w:rsidRPr="00000000">
        <w:rPr>
          <w:color w:val="475569"/>
          <w:sz w:val="20"/>
          <w:szCs w:val="20"/>
          <w:rtl w:val="0"/>
        </w:rPr>
        <w:t xml:space="preserve"> | </w:t>
      </w:r>
      <w:r w:rsidDel="00000000" w:rsidR="00000000" w:rsidRPr="00000000">
        <w:rPr>
          <w:b w:val="1"/>
          <w:bCs w:val="1"/>
          <w:color w:val="475569"/>
          <w:sz w:val="20"/>
          <w:szCs w:val="20"/>
          <w:rtl w:val="0"/>
        </w:rPr>
        <w:t xml:space="preserve">Benchmark Dataset:</w:t>
      </w:r>
      <w:r w:rsidDel="00000000" w:rsidR="00000000" w:rsidRPr="00000000">
        <w:rPr>
          <w:color w:val="475569"/>
          <w:sz w:val="20"/>
          <w:szCs w:val="20"/>
          <w:rtl w:val="0"/>
        </w:rPr>
        <w:t xml:space="preserve"> IBM Telco Customer Churn (WA_Fn-UseC_-Telco-Customer-Churn.csv, </w:t>
      </w:r>
      <w:r w:rsidDel="00000000" w:rsidR="00000000" w:rsidRPr="00000000">
        <w:rPr>
          <w:i w:val="1"/>
          <w:iCs w:val="1"/>
          <w:color w:val="475569"/>
          <w:sz w:val="20"/>
          <w:szCs w:val="20"/>
          <w:rtl w:val="0"/>
        </w:rPr>
        <w:t xml:space="preserve">N</w:t>
      </w:r>
      <w:r w:rsidDel="00000000" w:rsidR="00000000" w:rsidRPr="00000000">
        <w:rPr>
          <w:color w:val="475569"/>
          <w:sz w:val="20"/>
          <w:szCs w:val="20"/>
          <w:rtl w:val="0"/>
        </w:rPr>
        <w:t xml:space="preserve"> = 7,043) | </w:t>
      </w:r>
      <w:r w:rsidDel="00000000" w:rsidR="00000000" w:rsidRPr="00000000">
        <w:rPr>
          <w:b w:val="1"/>
          <w:bCs w:val="1"/>
          <w:color w:val="475569"/>
          <w:sz w:val="20"/>
          <w:szCs w:val="20"/>
          <w:rtl w:val="0"/>
        </w:rPr>
        <w:t xml:space="preserve">Status:</w:t>
      </w:r>
      <w:r w:rsidDel="00000000" w:rsidR="00000000" w:rsidRPr="00000000">
        <w:rPr>
          <w:color w:val="475569"/>
          <w:sz w:val="20"/>
          <w:szCs w:val="20"/>
          <w:rtl w:val="0"/>
        </w:rPr>
        <w:t xml:space="preserve"> Steps 1, 2, 3 &amp; 4 Completed; Steps 5–6 Pending User Review</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Abstract &amp; Research Motivation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Customer churn prediction in competitive telecommunications markets faces three persistent methodological gaps documented in recent literature (</w:t>
      </w:r>
      <w:hyperlink r:id="rId7">
        <w:r w:rsidDel="00000000" w:rsidR="00000000" w:rsidRPr="00000000">
          <w:rPr>
            <w:color w:val="0000ee"/>
            <w:u w:val="single"/>
            <w:rtl w:val="0"/>
          </w:rPr>
          <w:t xml:space="preserve">Chen et al., 2025</w:t>
        </w:r>
      </w:hyperlink>
      <w:r w:rsidDel="00000000" w:rsidR="00000000" w:rsidRPr="00000000">
        <w:rPr>
          <w:rtl w:val="0"/>
        </w:rPr>
        <w:t xml:space="preserve">; </w:t>
      </w:r>
      <w:hyperlink r:id="rId8">
        <w:r w:rsidDel="00000000" w:rsidR="00000000" w:rsidRPr="00000000">
          <w:rPr>
            <w:color w:val="0000ee"/>
            <w:u w:val="single"/>
            <w:rtl w:val="0"/>
          </w:rPr>
          <w:t xml:space="preserve">Imani et al., 2025</w:t>
        </w:r>
      </w:hyperlink>
      <w:r w:rsidDel="00000000" w:rsidR="00000000" w:rsidRPr="00000000">
        <w:rPr>
          <w:rtl w:val="0"/>
        </w:rPr>
        <w:t xml:space="preserve">; </w:t>
      </w:r>
      <w:hyperlink r:id="rId9">
        <w:r w:rsidDel="00000000" w:rsidR="00000000" w:rsidRPr="00000000">
          <w:rPr>
            <w:color w:val="0000ee"/>
            <w:u w:val="single"/>
            <w:rtl w:val="0"/>
          </w:rPr>
          <w:t xml:space="preserve">Höppner et al., 2020</w:t>
        </w:r>
      </w:hyperlink>
      <w:r w:rsidDel="00000000" w:rsidR="00000000" w:rsidRPr="00000000">
        <w:rPr>
          <w:rtl w:val="0"/>
        </w:rPr>
        <w:t xml:space="preserve">): (1) optimizing symmetric accuracy or F1-score at a fixed 0.50 probability cutoff rather than maximizing net retention profit via Expected Maximum Profit for Customer Churn (EMPC), (2) overlooking demographic disparate impact across protected cohorts (such as SeniorCitizen and gender), and (3) deploying black-box ensembles without post-hoc feature attribution (SHAP) to guide individualized customer retention interventions. This living scientific report documents our step-by-step experimental implementation, methodological decisions, empirical findings, and engineering challenges resolved at each stage.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Project Architecture &amp; Reproducible Artifact Index</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Root Project Folder:</w:t>
      </w:r>
      <w:r w:rsidDel="00000000" w:rsidR="00000000" w:rsidRPr="00000000">
        <w:rPr>
          <w:rtl w:val="0"/>
        </w:rPr>
        <w:t xml:space="preserve"> </w:t>
      </w:r>
      <w:hyperlink r:id="rId10">
        <w:r w:rsidDel="00000000" w:rsidR="00000000" w:rsidRPr="00000000">
          <w:rPr>
            <w:color w:val="0000ee"/>
            <w:u w:val="single"/>
            <w:rtl w:val="0"/>
          </w:rPr>
          <w:t xml:space="preserve">Project1_Telecom_Churn_EMPC_Fairness_XAI</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01_Data:</w:t>
      </w:r>
      <w:r w:rsidDel="00000000" w:rsidR="00000000" w:rsidRPr="00000000">
        <w:rPr>
          <w:rtl w:val="0"/>
        </w:rPr>
        <w:t xml:space="preserve"> </w:t>
      </w:r>
      <w:hyperlink r:id="rId11">
        <w:r w:rsidDel="00000000" w:rsidR="00000000" w:rsidRPr="00000000">
          <w:rPr>
            <w:color w:val="0000ee"/>
            <w:u w:val="single"/>
            <w:rtl w:val="0"/>
          </w:rPr>
          <w:t xml:space="preserve">01_Data Folder</w:t>
        </w:r>
      </w:hyperlink>
      <w:r w:rsidDel="00000000" w:rsidR="00000000" w:rsidRPr="00000000">
        <w:rPr>
          <w:rtl w:val="0"/>
        </w:rPr>
        <w:t xml:space="preserve"> — Anomaly Audit Sheet: </w:t>
      </w:r>
      <w:hyperlink r:id="rId12">
        <w:r w:rsidDel="00000000" w:rsidR="00000000" w:rsidRPr="00000000">
          <w:rPr>
            <w:color w:val="0000ee"/>
            <w:u w:val="single"/>
            <w:rtl w:val="0"/>
          </w:rPr>
          <w:t xml:space="preserve">Telco_Churn_11_Blank_TotalCharges_Audit</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02_Colab_Notebooks:</w:t>
      </w:r>
      <w:r w:rsidDel="00000000" w:rsidR="00000000" w:rsidRPr="00000000">
        <w:rPr>
          <w:rtl w:val="0"/>
        </w:rPr>
        <w:t xml:space="preserve"> </w:t>
      </w:r>
      <w:hyperlink r:id="rId13">
        <w:r w:rsidDel="00000000" w:rsidR="00000000" w:rsidRPr="00000000">
          <w:rPr>
            <w:color w:val="0000ee"/>
            <w:u w:val="single"/>
            <w:rtl w:val="0"/>
          </w:rPr>
          <w:t xml:space="preserve">02_Colab_Notebooks Folder</w:t>
        </w:r>
      </w:hyperlink>
      <w:r w:rsidDel="00000000" w:rsidR="00000000" w:rsidRPr="00000000">
        <w:rPr>
          <w:rtl w:val="0"/>
        </w:rPr>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1 Notebook: </w:t>
      </w:r>
      <w:hyperlink r:id="rId14">
        <w:r w:rsidDel="00000000" w:rsidR="00000000" w:rsidRPr="00000000">
          <w:rPr>
            <w:color w:val="0000ee"/>
            <w:u w:val="single"/>
            <w:rtl w:val="0"/>
          </w:rPr>
          <w:t xml:space="preserve">Step1_Data_Hygiene_Audit_and_EDA.ipynb</w:t>
        </w:r>
      </w:hyperlink>
      <w:r w:rsidDel="00000000" w:rsidR="00000000" w:rsidRPr="00000000">
        <w:rPr>
          <w:rtl w:val="0"/>
        </w:rPr>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2 Notebook: </w:t>
      </w:r>
      <w:hyperlink r:id="rId15">
        <w:r w:rsidDel="00000000" w:rsidR="00000000" w:rsidRPr="00000000">
          <w:rPr>
            <w:color w:val="0000ee"/>
            <w:u w:val="single"/>
            <w:rtl w:val="0"/>
          </w:rPr>
          <w:t xml:space="preserve">Step2_Feature_Engineering_and_Preprocessing.ipynb</w:t>
        </w:r>
      </w:hyperlink>
      <w:r w:rsidDel="00000000" w:rsidR="00000000" w:rsidRPr="00000000">
        <w:rPr>
          <w:rtl w:val="0"/>
        </w:rPr>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3 Notebook: </w:t>
      </w:r>
      <w:hyperlink r:id="rId16">
        <w:r w:rsidDel="00000000" w:rsidR="00000000" w:rsidRPr="00000000">
          <w:rPr>
            <w:color w:val="0000ee"/>
            <w:u w:val="single"/>
            <w:rtl w:val="0"/>
          </w:rPr>
          <w:t xml:space="preserve">Step3_Imbalance_Mitigation_and_Model_Benchmarking.ipynb</w:t>
        </w:r>
      </w:hyperlink>
      <w:r w:rsidDel="00000000" w:rsidR="00000000" w:rsidRPr="00000000">
        <w:rPr>
          <w:rtl w:val="0"/>
        </w:rPr>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4 Notebook: </w:t>
      </w:r>
      <w:hyperlink r:id="rId17">
        <w:r w:rsidDel="00000000" w:rsidR="00000000" w:rsidRPr="00000000">
          <w:rPr>
            <w:color w:val="0000ee"/>
            <w:u w:val="single"/>
            <w:rtl w:val="0"/>
          </w:rPr>
          <w:t xml:space="preserve">Step4_EMPC_Profit_Threshold_Optimization.ipynb</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03_Figures_and_Tables:</w:t>
      </w:r>
      <w:r w:rsidDel="00000000" w:rsidR="00000000" w:rsidRPr="00000000">
        <w:rPr>
          <w:rtl w:val="0"/>
        </w:rPr>
        <w:t xml:space="preserve"> </w:t>
      </w:r>
      <w:hyperlink r:id="rId18">
        <w:r w:rsidDel="00000000" w:rsidR="00000000" w:rsidRPr="00000000">
          <w:rPr>
            <w:color w:val="0000ee"/>
            <w:u w:val="single"/>
            <w:rtl w:val="0"/>
          </w:rPr>
          <w:t xml:space="preserve">03_Figures_and_Tables Folder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1 Cohort Summary Sheet: </w:t>
      </w:r>
      <w:hyperlink r:id="rId19">
        <w:r w:rsidDel="00000000" w:rsidR="00000000" w:rsidRPr="00000000">
          <w:rPr>
            <w:color w:val="0000ee"/>
            <w:u w:val="single"/>
            <w:rtl w:val="0"/>
          </w:rPr>
          <w:t xml:space="preserve">Step1_Cohort_Churn_Summary_Table</w:t>
        </w:r>
      </w:hyperlink>
      <w:r w:rsidDel="00000000" w:rsidR="00000000" w:rsidRPr="00000000">
        <w:rPr>
          <w:rtl w:val="0"/>
        </w:rPr>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2 VIF &amp; Feature Audit Sheet: </w:t>
      </w:r>
      <w:hyperlink r:id="rId20">
        <w:r w:rsidDel="00000000" w:rsidR="00000000" w:rsidRPr="00000000">
          <w:rPr>
            <w:color w:val="0000ee"/>
            <w:u w:val="single"/>
            <w:rtl w:val="0"/>
          </w:rPr>
          <w:t xml:space="preserve">Step2_Engineered_Features_and_VIF_Audit</w:t>
        </w:r>
      </w:hyperlink>
      <w:r w:rsidDel="00000000" w:rsidR="00000000" w:rsidRPr="00000000">
        <w:rPr>
          <w:rtl w:val="0"/>
        </w:rPr>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3 Multi-Model Benchmark Sheet: </w:t>
      </w:r>
      <w:hyperlink r:id="rId21">
        <w:r w:rsidDel="00000000" w:rsidR="00000000" w:rsidRPr="00000000">
          <w:rPr>
            <w:color w:val="0000ee"/>
            <w:u w:val="single"/>
            <w:rtl w:val="0"/>
          </w:rPr>
          <w:t xml:space="preserve">Step3_MultiModel_Imbalance_Benchmark_Table</w:t>
        </w:r>
      </w:hyperlink>
      <w:r w:rsidDel="00000000" w:rsidR="00000000" w:rsidRPr="00000000">
        <w:rPr>
          <w:rtl w:val="0"/>
        </w:rPr>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4 EMPC Parameter &amp; Threshold Protocol Sheet: </w:t>
      </w:r>
      <w:hyperlink r:id="rId22">
        <w:r w:rsidDel="00000000" w:rsidR="00000000" w:rsidRPr="00000000">
          <w:rPr>
            <w:color w:val="0000ee"/>
            <w:u w:val="single"/>
            <w:rtl w:val="0"/>
          </w:rPr>
          <w:t xml:space="preserve">Step4_EMPC_Parameter_and_Threshold_Protocol</w:t>
        </w:r>
      </w:hyperlink>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Step 1: Data Hygiene Audit, Anomaly Resolution &amp; Exploratory Data Analysis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The raw IBM Telco Customer Churn benchmark dataset (</w:t>
      </w:r>
      <w:hyperlink r:id="rId23">
        <w:r w:rsidDel="00000000" w:rsidR="00000000" w:rsidRPr="00000000">
          <w:rPr>
            <w:color w:val="0000ee"/>
            <w:u w:val="single"/>
            <w:rtl w:val="0"/>
          </w:rPr>
          <w:t xml:space="preserve">IBM Telco GitHub Repository</w:t>
        </w:r>
      </w:hyperlink>
      <w:r w:rsidDel="00000000" w:rsidR="00000000" w:rsidRPr="00000000">
        <w:rPr>
          <w:rtl w:val="0"/>
        </w:rPr>
        <w:t xml:space="preserve">; </w:t>
      </w:r>
      <w:hyperlink r:id="rId24">
        <w:r w:rsidDel="00000000" w:rsidR="00000000" w:rsidRPr="00000000">
          <w:rPr>
            <w:color w:val="0000ee"/>
            <w:u w:val="single"/>
            <w:rtl w:val="0"/>
          </w:rPr>
          <w:t xml:space="preserve">Chen et al., 2025</w:t>
        </w:r>
      </w:hyperlink>
      <w:r w:rsidDel="00000000" w:rsidR="00000000" w:rsidRPr="00000000">
        <w:rPr>
          <w:rtl w:val="0"/>
        </w:rPr>
        <w:t xml:space="preserve">) comprises </w:t>
      </w:r>
      <w:r w:rsidDel="00000000" w:rsidR="00000000" w:rsidRPr="00000000">
        <w:rPr>
          <w:i w:val="1"/>
          <w:iCs w:val="1"/>
          <w:rtl w:val="0"/>
        </w:rPr>
        <w:t xml:space="preserve">N</w:t>
      </w:r>
      <w:r w:rsidDel="00000000" w:rsidR="00000000" w:rsidRPr="00000000">
        <w:rPr>
          <w:rtl w:val="0"/>
        </w:rPr>
        <w:t xml:space="preserve"> = 7,043 customer accounts across 21 attributes. Overall empirical churn prevalence is 26.54% (1,869 churners vs. 5,174 retained subscribers, a 2.7686:1 majority-to-minority imbalance ratio). Auditing TotalCharges revealed exactly 11 whitespace strings (" ") caused by tenure == 0 onboarding accounts, all having Churn == "No" and 1-year or 2-year contracts. Imputing TotalCharges = 0.00 preserves all 7,043 rows without survival bias. Bivariate tests confirmed extreme churn concentration in Month-to-month contracts (42.71% churn, χ</w:t>
      </w:r>
      <w:r w:rsidDel="00000000" w:rsidR="00000000" w:rsidRPr="00000000">
        <w:rPr>
          <w:vertAlign w:val="superscript"/>
          <w:rtl w:val="0"/>
        </w:rPr>
        <w:t xml:space="preserve">2</w:t>
      </w:r>
      <w:r w:rsidDel="00000000" w:rsidR="00000000" w:rsidRPr="00000000">
        <w:rPr>
          <w:rtl w:val="0"/>
        </w:rPr>
        <w:t xml:space="preserve"> = 1184.60), Electronic check payment (45.29% churn, χ</w:t>
      </w:r>
      <w:r w:rsidDel="00000000" w:rsidR="00000000" w:rsidRPr="00000000">
        <w:rPr>
          <w:vertAlign w:val="superscript"/>
          <w:rtl w:val="0"/>
        </w:rPr>
        <w:t xml:space="preserve">2</w:t>
      </w:r>
      <w:r w:rsidDel="00000000" w:rsidR="00000000" w:rsidRPr="00000000">
        <w:rPr>
          <w:rtl w:val="0"/>
        </w:rPr>
        <w:t xml:space="preserve"> = 648.14), Fiber optic internet (41.89% churn, χ</w:t>
      </w:r>
      <w:r w:rsidDel="00000000" w:rsidR="00000000" w:rsidRPr="00000000">
        <w:rPr>
          <w:vertAlign w:val="superscript"/>
          <w:rtl w:val="0"/>
        </w:rPr>
        <w:t xml:space="preserve">2</w:t>
      </w:r>
      <w:r w:rsidDel="00000000" w:rsidR="00000000" w:rsidRPr="00000000">
        <w:rPr>
          <w:rtl w:val="0"/>
        </w:rPr>
        <w:t xml:space="preserve"> = 732.31), and Senior Citizens (41.68% vs. 23.61% for non-seniors, χ</w:t>
      </w:r>
      <w:r w:rsidDel="00000000" w:rsidR="00000000" w:rsidRPr="00000000">
        <w:rPr>
          <w:vertAlign w:val="superscript"/>
          <w:rtl w:val="0"/>
        </w:rPr>
        <w:t xml:space="preserve">2</w:t>
      </w:r>
      <w:r w:rsidDel="00000000" w:rsidR="00000000" w:rsidRPr="00000000">
        <w:rPr>
          <w:rtl w:val="0"/>
        </w:rPr>
        <w:t xml:space="preserve"> = 159.43, OR = 2.31).</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Step 2: Domain Feature Engineering &amp; Multicollinearity (VIF) Elimination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Following an 80/20 stratified train-test split (</w:t>
      </w:r>
      <w:r w:rsidDel="00000000" w:rsidR="00000000" w:rsidRPr="00000000">
        <w:rPr>
          <w:i w:val="1"/>
          <w:iCs w:val="1"/>
          <w:rtl w:val="0"/>
        </w:rPr>
        <w:t xml:space="preserve">n</w:t>
      </w:r>
      <w:r w:rsidDel="00000000" w:rsidR="00000000" w:rsidRPr="00000000">
        <w:rPr>
          <w:vertAlign w:val="subscript"/>
          <w:rtl w:val="0"/>
        </w:rPr>
        <w:t xml:space="preserve">train</w:t>
      </w:r>
      <w:r w:rsidDel="00000000" w:rsidR="00000000" w:rsidRPr="00000000">
        <w:rPr>
          <w:rtl w:val="0"/>
        </w:rPr>
        <w:t xml:space="preserve"> = 5,634,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Fonts w:ascii="Arial Unicode MS" w:cs="Arial Unicode MS" w:eastAsia="Arial Unicode MS" w:hAnsi="Arial Unicode MS"/>
          <w:rtl w:val="0"/>
        </w:rPr>
        <w:t xml:space="preserve"> = 1,409; random_state=42), we engineered five behavioral predictors (Charge_Velocity_Ratio, Service_Adoption_Depth, Unprotected_Fiber_Flag, Digital_Friction_Index, and Tenure_Lifecycle_Stage) and resolved two structural Variance Inflation Factor (VIF) pathologies: (1) perfect dummy-trap collinearity (VIF = ∞) across internet/phone sub-services by collapsing redundant "No internet service" indicators, and (2) severe multiplicative collinearity across TotalCharges (VIF = 10.81), tenure (VIF = 7.58), and MonthlyCharges (VIF = 14.85) by replacing raw TotalCharges with Charge_Velocity_Ratio, reducing maximum continuous VIF to 3.84.</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Step 3: Class Imbalance Mitigation &amp; Six-Model Benchmarking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We evaluated six model families (Logistic Regression, Random Forest, XGBoost, LightGBM, CatBoost, and a 3×32 ReLU MLP following </w:t>
      </w:r>
      <w:hyperlink r:id="rId25">
        <w:r w:rsidDel="00000000" w:rsidR="00000000" w:rsidRPr="00000000">
          <w:rPr>
            <w:color w:val="0000ee"/>
            <w:u w:val="single"/>
            <w:rtl w:val="0"/>
          </w:rPr>
          <w:t xml:space="preserve">Chen et al., 2025</w:t>
        </w:r>
      </w:hyperlink>
      <w:r w:rsidDel="00000000" w:rsidR="00000000" w:rsidRPr="00000000">
        <w:rPr>
          <w:rtl w:val="0"/>
        </w:rPr>
        <w:t xml:space="preserve">) across three strictly leakage-free training regimes applied exclusively to </w:t>
      </w:r>
      <w:r w:rsidDel="00000000" w:rsidR="00000000" w:rsidRPr="00000000">
        <w:rPr>
          <w:i w:val="1"/>
          <w:iCs w:val="1"/>
          <w:rtl w:val="0"/>
        </w:rPr>
        <w:t xml:space="preserve">n</w:t>
      </w:r>
      <w:r w:rsidDel="00000000" w:rsidR="00000000" w:rsidRPr="00000000">
        <w:rPr>
          <w:vertAlign w:val="subscript"/>
          <w:rtl w:val="0"/>
        </w:rPr>
        <w:t xml:space="preserve">train</w:t>
      </w:r>
      <w:r w:rsidDel="00000000" w:rsidR="00000000" w:rsidRPr="00000000">
        <w:rPr>
          <w:rtl w:val="0"/>
        </w:rPr>
        <w:t xml:space="preserve"> = 5,634: (R1) Standard Unweighted (t = 0.50), (R2) Cost-Sensitive / Focal Loss (w_1 = 2.7686), and (R3) Train-Only Hybrid SMOTE-ENN (</w:t>
      </w:r>
      <w:hyperlink r:id="rId26">
        <w:r w:rsidDel="00000000" w:rsidR="00000000" w:rsidRPr="00000000">
          <w:rPr>
            <w:color w:val="0000ee"/>
            <w:u w:val="single"/>
            <w:rtl w:val="0"/>
          </w:rPr>
          <w:t xml:space="preserve">Imani et al., 2025</w:t>
        </w:r>
      </w:hyperlink>
      <w:r w:rsidDel="00000000" w:rsidR="00000000" w:rsidRPr="00000000">
        <w:rPr>
          <w:rtl w:val="0"/>
        </w:rPr>
        <w:t xml:space="preserve">). On the untouched test cohort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tl w:val="0"/>
        </w:rPr>
        <w:t xml:space="preserve"> = 1,409), </w:t>
      </w:r>
      <w:r w:rsidDel="00000000" w:rsidR="00000000" w:rsidRPr="00000000">
        <w:rPr>
          <w:b w:val="1"/>
          <w:bCs w:val="1"/>
          <w:rtl w:val="0"/>
        </w:rPr>
        <w:t xml:space="preserve">CatBoost</w:t>
      </w:r>
      <w:r w:rsidDel="00000000" w:rsidR="00000000" w:rsidRPr="00000000">
        <w:rPr>
          <w:rtl w:val="0"/>
        </w:rPr>
        <w:t xml:space="preserve"> achieved the highest ranking discrimination (ROC-AUC = 0.8482, PR-AUC = 0.6654, Brier = 0.1342), while Cost-Sensitive and Train-Only SMOTE-ENN increased minority-class recall from 53.7%–54.8% to 79.1%–85.6%.</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6. Step 4: Decision Economics &amp; Expected Maximum Profit for Customer Churn (EMPC) Threshold Optimization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6.1 Epistemic Separation: Empirical Dataset Quantities vs. Assumed Campaign Parameters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00" w:before="160" w:lineRule="auto"/>
        <w:ind w:left="200" w:right="200" w:firstLine="0"/>
        <w:rPr>
          <w:shd w:fill="f1f5f9" w:val="clear"/>
        </w:rPr>
      </w:pPr>
      <w:r w:rsidDel="00000000" w:rsidR="00000000" w:rsidRPr="00000000">
        <w:rPr>
          <w:b w:val="1"/>
          <w:bCs w:val="1"/>
          <w:shd w:fill="f1f5f9" w:val="clear"/>
          <w:rtl w:val="0"/>
        </w:rPr>
        <w:t xml:space="preserve">Methodological Rigor Note:</w:t>
      </w:r>
      <w:r w:rsidDel="00000000" w:rsidR="00000000" w:rsidRPr="00000000">
        <w:rPr>
          <w:shd w:fill="f1f5f9" w:val="clear"/>
          <w:rtl w:val="0"/>
        </w:rPr>
        <w:t xml:space="preserve"> The IBM Telco dataset records customer-level MonthlyCharges, tenure, and ground-truth binary Churn outcomes, enabling exact empirical confusion-matrix counts (TP(t), FP(t), TN(t), FN(t)) at any probability cutoff </w:t>
      </w:r>
      <w:r w:rsidDel="00000000" w:rsidR="00000000" w:rsidRPr="00000000">
        <w:rPr>
          <w:i w:val="1"/>
          <w:iCs w:val="1"/>
          <w:shd w:fill="f1f5f9" w:val="clear"/>
          <w:rtl w:val="0"/>
        </w:rPr>
        <w:t xml:space="preserve">t</w:t>
      </w:r>
      <w:r w:rsidDel="00000000" w:rsidR="00000000" w:rsidRPr="00000000">
        <w:rPr>
          <w:rFonts w:ascii="Arial Unicode MS" w:cs="Arial Unicode MS" w:eastAsia="Arial Unicode MS" w:hAnsi="Arial Unicode MS"/>
          <w:shd w:fill="f1f5f9" w:val="clear"/>
          <w:rtl w:val="0"/>
        </w:rPr>
        <w:t xml:space="preserve"> ∈ (0, 1). However, the dataset does </w:t>
      </w:r>
      <w:r w:rsidDel="00000000" w:rsidR="00000000" w:rsidRPr="00000000">
        <w:rPr>
          <w:b w:val="1"/>
          <w:bCs w:val="1"/>
          <w:shd w:fill="f1f5f9" w:val="clear"/>
          <w:rtl w:val="0"/>
        </w:rPr>
        <w:t xml:space="preserve">not</w:t>
      </w:r>
      <w:r w:rsidDel="00000000" w:rsidR="00000000" w:rsidRPr="00000000">
        <w:rPr>
          <w:shd w:fill="f1f5f9" w:val="clear"/>
          <w:rtl w:val="0"/>
        </w:rPr>
        <w:t xml:space="preserve"> contain historical retention campaign records (contact fees, promotional discount costs, or offer acceptance rates). Therefore, in strict accordance with scientific transparency, all economic payoff translations are explicitly separated from empirical classification counts and parameterized using the canonical telecommunications EMPC framework established by Verbraken et al. (2013) and </w:t>
      </w:r>
      <w:hyperlink r:id="rId27">
        <w:r w:rsidDel="00000000" w:rsidR="00000000" w:rsidRPr="00000000">
          <w:rPr>
            <w:color w:val="0000ee"/>
            <w:u w:val="single"/>
            <w:shd w:fill="f1f5f9" w:val="clear"/>
            <w:rtl w:val="0"/>
          </w:rPr>
          <w:t xml:space="preserve">Höppner et al. (2020, Eqs. 14–19)</w:t>
        </w:r>
      </w:hyperlink>
      <w:r w:rsidDel="00000000" w:rsidR="00000000" w:rsidRPr="00000000">
        <w:rPr>
          <w:shd w:fill="f1f5f9" w:val="clear"/>
          <w:rtl w:val="0"/>
        </w:rPr>
        <w:t xml:space="preserve">. Furthermore, all visual plots are generated exclusively via executable Python code cells inside </w:t>
      </w:r>
      <w:hyperlink r:id="rId28">
        <w:r w:rsidDel="00000000" w:rsidR="00000000" w:rsidRPr="00000000">
          <w:rPr>
            <w:color w:val="0000ee"/>
            <w:u w:val="single"/>
            <w:shd w:fill="f1f5f9" w:val="clear"/>
            <w:rtl w:val="0"/>
          </w:rPr>
          <w:t xml:space="preserve">Step4_EMPC_Profit_Threshold_Optimization.ipynb</w:t>
        </w:r>
      </w:hyperlink>
      <w:r w:rsidDel="00000000" w:rsidR="00000000" w:rsidRPr="00000000">
        <w:rPr>
          <w:shd w:fill="f1f5f9" w:val="clear"/>
          <w:rtl w:val="0"/>
        </w:rPr>
        <w:t xml:space="preserve"> when executed in Google Colab.</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Mathematical Formulation of Deterministic MPC and Probabilistic EMPC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deterministic asymmetric cost framework of </w:t>
      </w:r>
      <w:hyperlink r:id="rId29">
        <w:r w:rsidDel="00000000" w:rsidR="00000000" w:rsidRPr="00000000">
          <w:rPr>
            <w:color w:val="0000ee"/>
            <w:u w:val="single"/>
            <w:rtl w:val="0"/>
          </w:rPr>
          <w:t xml:space="preserve">Chen et al. (2025, Eq. 3)</w:t>
        </w:r>
      </w:hyperlink>
      <w:r w:rsidDel="00000000" w:rsidR="00000000" w:rsidRPr="00000000">
        <w:rPr>
          <w:rtl w:val="0"/>
        </w:rPr>
        <w:t xml:space="preserve">, total misclassification cost at threshold </w:t>
      </w:r>
      <w:r w:rsidDel="00000000" w:rsidR="00000000" w:rsidRPr="00000000">
        <w:rPr>
          <w:i w:val="1"/>
          <w:iCs w:val="1"/>
          <w:rtl w:val="0"/>
        </w:rPr>
        <w:t xml:space="preserve">t</w:t>
      </w:r>
      <w:r w:rsidDel="00000000" w:rsidR="00000000" w:rsidRPr="00000000">
        <w:rPr>
          <w:rtl w:val="0"/>
        </w:rPr>
        <w:t xml:space="preserve"> 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Total Cost(t) = c_FP · FP(t) + c_FN · FN(t),    where c_FN &gt;&gt; c_FP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incorporate campaign intervention mechanics and uncertainty in whether a targeted churner accepts the retention offer, Verbraken et al. (2013) and </w:t>
      </w:r>
      <w:hyperlink r:id="rId30">
        <w:r w:rsidDel="00000000" w:rsidR="00000000" w:rsidRPr="00000000">
          <w:rPr>
            <w:color w:val="0000ee"/>
            <w:u w:val="single"/>
            <w:rtl w:val="0"/>
          </w:rPr>
          <w:t xml:space="preserve">Höppner et al. (2020, Section 3.2, p. 11)</w:t>
        </w:r>
      </w:hyperlink>
      <w:r w:rsidDel="00000000" w:rsidR="00000000" w:rsidRPr="00000000">
        <w:rPr>
          <w:rtl w:val="0"/>
        </w:rPr>
        <w:t xml:space="preserve"> define average Customer Lifetime Value (CLV = $200), retention offer cost d = $10 (δ = d / CLV = 0.05), contact cost f = $1 (φ = f / CLV = 0.005), and stochastic offer acceptance probability γ ~ Beta(α_0 = 6, β_0 = 14) with mean E[γ] = 6 / 20 = 0.3000 and standard deviation SD[γ] = 0.1000:</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 True Positive Benefit:</w:t>
      </w:r>
      <w:r w:rsidDel="00000000" w:rsidR="00000000" w:rsidRPr="00000000">
        <w:rPr>
          <w:rtl w:val="0"/>
        </w:rPr>
        <w:t xml:space="preserve"> b_TP(γ) = CLV · [γ(1 - δ) - φ] = 200 · [0.95γ - 0.005]. At the point estimate E[γ] = 0.3000, b_TP(0.30) = $56.00 per targeted true churner.</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False Positive Cost:</w:t>
      </w:r>
      <w:r w:rsidDel="00000000" w:rsidR="00000000" w:rsidRPr="00000000">
        <w:rPr>
          <w:rtl w:val="0"/>
        </w:rPr>
        <w:t xml:space="preserve"> c_FP = CLV · (δ + φ) = 200 · (0.05 + 0.005) = $11.00 per targeted non-churner (who always accepts the promotional discount).</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Profit per Customer:</w:t>
      </w:r>
      <w:r w:rsidDel="00000000" w:rsidR="00000000" w:rsidRPr="00000000">
        <w:rPr>
          <w:rtl w:val="0"/>
        </w:rPr>
        <w:t xml:space="preserve"> P(t; γ) = (1 / N) · [b_TP(γ) · TP(t) - c_FP · FP(t)] = π_1 · b_TP(γ) · F_1(t) - π_0 · c_FP · F_0(t), with target fraction η(t) = [TP(t) + FP(t)] / N.</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Expected Maximum Profit for Customer Churn (EMPC):</w:t>
      </w:r>
      <w:r w:rsidDel="00000000" w:rsidR="00000000" w:rsidRPr="00000000">
        <w:rPr>
          <w:rFonts w:ascii="Arial Unicode MS" w:cs="Arial Unicode MS" w:eastAsia="Arial Unicode MS" w:hAnsi="Arial Unicode MS"/>
          <w:rtl w:val="0"/>
        </w:rPr>
        <w:t xml:space="preserve"> Integrating over the Beta prior g(γ) yields EMPC = ∫_0^1 max_t P(t; γ) · g(γ) dγ.</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Bayes-Optimal Calibrated Cutoff:</w:t>
      </w:r>
      <w:r w:rsidDel="00000000" w:rsidR="00000000" w:rsidRPr="00000000">
        <w:rPr>
          <w:rFonts w:ascii="Arial Unicode MS" w:cs="Arial Unicode MS" w:eastAsia="Arial Unicode MS" w:hAnsi="Arial Unicode MS"/>
          <w:rtl w:val="0"/>
        </w:rPr>
        <w:t xml:space="preserve"> For any fixed realization of γ, a customer with well-calibrated churn probability p_i yields positive expected incremental profit if and only if p_i · b_TP(γ) ≥ (1 - p_i) · c_FP, which yields the exact closed-form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t_opt(γ) = c_FP / [b_TP(γ) + c_FP] = (δ + φ) / [γ(1 - δ) + δ]. At E[γ] = 0.3000, t_opt(0.30) = 11.00 / (56.00 + 11.00) = 0.1642 (16.42%).</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Theoretical Parameter Schedule &amp; Empirical Test Confusion Matrix Evaluation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full protocol is archived in </w:t>
      </w:r>
      <w:hyperlink r:id="rId31">
        <w:r w:rsidDel="00000000" w:rsidR="00000000" w:rsidRPr="00000000">
          <w:rPr>
            <w:color w:val="0000ee"/>
            <w:u w:val="single"/>
            <w:rtl w:val="0"/>
          </w:rPr>
          <w:t xml:space="preserve">Step4_EMPC_Parameter_and_Threshold_Protocol</w:t>
        </w:r>
      </w:hyperlink>
      <w:r w:rsidDel="00000000" w:rsidR="00000000" w:rsidRPr="00000000">
        <w:rPr>
          <w:rtl w:val="0"/>
        </w:rPr>
        <w:t xml:space="preserve"> and summarized below, explicitly separating theoretical prior schedules from empirical test counts on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tl w:val="0"/>
        </w:rPr>
        <w:t xml:space="preserve"> = 1,409 (374 true churners, 1,035 non-churners):</w:t>
      </w:r>
    </w:p>
    <w:tbl>
      <w:tblPr>
        <w:tblStyle w:val="Table1"/>
        <w:tblW w:w="9360.000000000002"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Model / Regime</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Epistemic Basis</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Calibrated Cutoff (</w:t>
            </w:r>
            <w:r w:rsidDel="00000000" w:rsidR="00000000" w:rsidRPr="00000000">
              <w:rPr>
                <w:i w:val="1"/>
                <w:iCs w:val="1"/>
                <w:color w:val="ffffff"/>
                <w:sz w:val="18"/>
                <w:szCs w:val="18"/>
                <w:shd w:fill="auto" w:val="clear"/>
                <w:rtl w:val="0"/>
              </w:rPr>
              <w:t xml:space="preserve">t</w:t>
            </w:r>
            <w:r w:rsidDel="00000000" w:rsidR="00000000" w:rsidRPr="00000000">
              <w:rPr>
                <w:color w:val="ffffff"/>
                <w:sz w:val="18"/>
                <w:szCs w:val="18"/>
                <w:shd w:fill="auto" w:val="clear"/>
                <w:rtl w:val="0"/>
              </w:rPr>
              <w:t xml:space="preserve">)</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Empirical Test Counts (</w:t>
            </w:r>
            <w:r w:rsidDel="00000000" w:rsidR="00000000" w:rsidRPr="00000000">
              <w:rPr>
                <w:i w:val="1"/>
                <w:iCs w:val="1"/>
                <w:color w:val="ffffff"/>
                <w:sz w:val="18"/>
                <w:szCs w:val="18"/>
                <w:shd w:fill="auto" w:val="clear"/>
                <w:rtl w:val="0"/>
              </w:rPr>
              <w:t xml:space="preserve">n</w:t>
            </w:r>
            <w:r w:rsidDel="00000000" w:rsidR="00000000" w:rsidRPr="00000000">
              <w:rPr>
                <w:color w:val="ffffff"/>
                <w:sz w:val="18"/>
                <w:szCs w:val="18"/>
                <w:shd w:fill="auto" w:val="clear"/>
                <w:rtl w:val="0"/>
              </w:rPr>
              <w:t xml:space="preserve"> = 1,409)</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Target Fraction (η)</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Empirical Recall / Precision / F1</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Simulated Payoff at Assumed MPC (γ=0.30)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Beta(6,14) Prior Schedule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Assumed Theory (</w:t>
            </w:r>
            <w:hyperlink r:id="rId32">
              <w:r w:rsidDel="00000000" w:rsidR="00000000" w:rsidRPr="00000000">
                <w:rPr>
                  <w:color w:val="0000ee"/>
                  <w:sz w:val="18"/>
                  <w:szCs w:val="18"/>
                  <w:u w:val="single"/>
                  <w:vertAlign w:val="baseline"/>
                  <w:rtl w:val="0"/>
                </w:rPr>
                <w:t xml:space="preserve">Höppner et al., 2020</w:t>
              </w:r>
            </w:hyperlink>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i w:val="1"/>
                <w:iCs w:val="1"/>
                <w:sz w:val="18"/>
                <w:szCs w:val="18"/>
                <w:vertAlign w:val="baseline"/>
                <w:rtl w:val="0"/>
              </w:rPr>
              <w:t xml:space="preserve">p</w:t>
            </w:r>
            <w:r w:rsidDel="00000000" w:rsidR="00000000" w:rsidRPr="00000000">
              <w:rPr>
                <w:sz w:val="18"/>
                <w:szCs w:val="18"/>
                <w:vertAlign w:val="subscript"/>
                <w:rtl w:val="0"/>
              </w:rPr>
              <w:t xml:space="preserve">10</w:t>
            </w:r>
            <w:r w:rsidDel="00000000" w:rsidR="00000000" w:rsidRPr="00000000">
              <w:rPr>
                <w:sz w:val="18"/>
                <w:szCs w:val="18"/>
                <w:vertAlign w:val="baseline"/>
                <w:rtl w:val="0"/>
              </w:rPr>
              <w:t xml:space="preserve">: 0.2542 | </w:t>
            </w:r>
            <w:r w:rsidDel="00000000" w:rsidR="00000000" w:rsidRPr="00000000">
              <w:rPr>
                <w:i w:val="1"/>
                <w:iCs w:val="1"/>
                <w:sz w:val="18"/>
                <w:szCs w:val="18"/>
                <w:vertAlign w:val="baseline"/>
                <w:rtl w:val="0"/>
              </w:rPr>
              <w:t xml:space="preserve">p</w:t>
            </w:r>
            <w:r w:rsidDel="00000000" w:rsidR="00000000" w:rsidRPr="00000000">
              <w:rPr>
                <w:sz w:val="18"/>
                <w:szCs w:val="18"/>
                <w:vertAlign w:val="subscript"/>
                <w:rtl w:val="0"/>
              </w:rPr>
              <w:t xml:space="preserve">25</w:t>
            </w:r>
            <w:r w:rsidDel="00000000" w:rsidR="00000000" w:rsidRPr="00000000">
              <w:rPr>
                <w:sz w:val="18"/>
                <w:szCs w:val="18"/>
                <w:vertAlign w:val="baseline"/>
                <w:rtl w:val="0"/>
              </w:rPr>
              <w:t xml:space="preserve">: 0.2068 | </w:t>
            </w:r>
            <w:r w:rsidDel="00000000" w:rsidR="00000000" w:rsidRPr="00000000">
              <w:rPr>
                <w:i w:val="1"/>
                <w:iCs w:val="1"/>
                <w:sz w:val="18"/>
                <w:szCs w:val="18"/>
                <w:vertAlign w:val="baseline"/>
                <w:rtl w:val="0"/>
              </w:rPr>
              <w:t xml:space="preserve">p</w:t>
            </w:r>
            <w:r w:rsidDel="00000000" w:rsidR="00000000" w:rsidRPr="00000000">
              <w:rPr>
                <w:sz w:val="18"/>
                <w:szCs w:val="18"/>
                <w:vertAlign w:val="subscript"/>
                <w:rtl w:val="0"/>
              </w:rPr>
              <w:t xml:space="preserve">50</w:t>
            </w:r>
            <w:r w:rsidDel="00000000" w:rsidR="00000000" w:rsidRPr="00000000">
              <w:rPr>
                <w:sz w:val="18"/>
                <w:szCs w:val="18"/>
                <w:vertAlign w:val="baseline"/>
                <w:rtl w:val="0"/>
              </w:rPr>
              <w:t xml:space="preserve">: 0.1674 | Mean: 0.1642 | </w:t>
            </w:r>
            <w:r w:rsidDel="00000000" w:rsidR="00000000" w:rsidRPr="00000000">
              <w:rPr>
                <w:i w:val="1"/>
                <w:iCs w:val="1"/>
                <w:sz w:val="18"/>
                <w:szCs w:val="18"/>
                <w:vertAlign w:val="baseline"/>
                <w:rtl w:val="0"/>
              </w:rPr>
              <w:t xml:space="preserve">p</w:t>
            </w:r>
            <w:r w:rsidDel="00000000" w:rsidR="00000000" w:rsidRPr="00000000">
              <w:rPr>
                <w:sz w:val="18"/>
                <w:szCs w:val="18"/>
                <w:vertAlign w:val="subscript"/>
                <w:rtl w:val="0"/>
              </w:rPr>
              <w:t xml:space="preserve">75</w:t>
            </w:r>
            <w:r w:rsidDel="00000000" w:rsidR="00000000" w:rsidRPr="00000000">
              <w:rPr>
                <w:sz w:val="18"/>
                <w:szCs w:val="18"/>
                <w:vertAlign w:val="baseline"/>
                <w:rtl w:val="0"/>
              </w:rPr>
              <w:t xml:space="preserve">: 0.1385 | </w:t>
            </w:r>
            <w:r w:rsidDel="00000000" w:rsidR="00000000" w:rsidRPr="00000000">
              <w:rPr>
                <w:i w:val="1"/>
                <w:iCs w:val="1"/>
                <w:sz w:val="18"/>
                <w:szCs w:val="18"/>
                <w:vertAlign w:val="baseline"/>
                <w:rtl w:val="0"/>
              </w:rPr>
              <w:t xml:space="preserve">p</w:t>
            </w:r>
            <w:r w:rsidDel="00000000" w:rsidR="00000000" w:rsidRPr="00000000">
              <w:rPr>
                <w:sz w:val="18"/>
                <w:szCs w:val="18"/>
                <w:vertAlign w:val="subscript"/>
                <w:rtl w:val="0"/>
              </w:rPr>
              <w:t xml:space="preserve">90</w:t>
            </w:r>
            <w:r w:rsidDel="00000000" w:rsidR="00000000" w:rsidRPr="00000000">
              <w:rPr>
                <w:sz w:val="18"/>
                <w:szCs w:val="18"/>
                <w:vertAlign w:val="baseline"/>
                <w:rtl w:val="0"/>
              </w:rPr>
              <w:t xml:space="preserve">: 0.1190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N/A (Theoretical Prior Schedule)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N/A</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N/A</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i w:val="1"/>
                <w:iCs w:val="1"/>
                <w:sz w:val="18"/>
                <w:szCs w:val="18"/>
                <w:vertAlign w:val="baseline"/>
                <w:rtl w:val="0"/>
              </w:rPr>
              <w:t xml:space="preserve">b</w:t>
            </w:r>
            <w:r w:rsidDel="00000000" w:rsidR="00000000" w:rsidRPr="00000000">
              <w:rPr>
                <w:sz w:val="18"/>
                <w:szCs w:val="18"/>
                <w:vertAlign w:val="subscript"/>
                <w:rtl w:val="0"/>
              </w:rPr>
              <w:t xml:space="preserve">TP</w:t>
            </w:r>
            <w:r w:rsidDel="00000000" w:rsidR="00000000" w:rsidRPr="00000000">
              <w:rPr>
                <w:sz w:val="18"/>
                <w:szCs w:val="18"/>
                <w:vertAlign w:val="baseline"/>
                <w:rtl w:val="0"/>
              </w:rPr>
              <w:t xml:space="preserve"> spans $32.27 (</w:t>
            </w:r>
            <w:r w:rsidDel="00000000" w:rsidR="00000000" w:rsidRPr="00000000">
              <w:rPr>
                <w:i w:val="1"/>
                <w:iCs w:val="1"/>
                <w:sz w:val="18"/>
                <w:szCs w:val="18"/>
                <w:vertAlign w:val="baseline"/>
                <w:rtl w:val="0"/>
              </w:rPr>
              <w:t xml:space="preserve">p</w:t>
            </w:r>
            <w:r w:rsidDel="00000000" w:rsidR="00000000" w:rsidRPr="00000000">
              <w:rPr>
                <w:sz w:val="18"/>
                <w:szCs w:val="18"/>
                <w:vertAlign w:val="subscript"/>
                <w:rtl w:val="0"/>
              </w:rPr>
              <w:t xml:space="preserve">10</w:t>
            </w:r>
            <w:r w:rsidDel="00000000" w:rsidR="00000000" w:rsidRPr="00000000">
              <w:rPr>
                <w:sz w:val="18"/>
                <w:szCs w:val="18"/>
                <w:vertAlign w:val="baseline"/>
                <w:rtl w:val="0"/>
              </w:rPr>
              <w:t xml:space="preserve">) to $81.47 (</w:t>
            </w:r>
            <w:r w:rsidDel="00000000" w:rsidR="00000000" w:rsidRPr="00000000">
              <w:rPr>
                <w:i w:val="1"/>
                <w:iCs w:val="1"/>
                <w:sz w:val="18"/>
                <w:szCs w:val="18"/>
                <w:vertAlign w:val="baseline"/>
                <w:rtl w:val="0"/>
              </w:rPr>
              <w:t xml:space="preserve">p</w:t>
            </w:r>
            <w:r w:rsidDel="00000000" w:rsidR="00000000" w:rsidRPr="00000000">
              <w:rPr>
                <w:sz w:val="18"/>
                <w:szCs w:val="18"/>
                <w:vertAlign w:val="subscript"/>
                <w:rtl w:val="0"/>
              </w:rPr>
              <w:t xml:space="preserve">90</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c</w:t>
            </w:r>
            <w:r w:rsidDel="00000000" w:rsidR="00000000" w:rsidRPr="00000000">
              <w:rPr>
                <w:sz w:val="18"/>
                <w:szCs w:val="18"/>
                <w:vertAlign w:val="subscript"/>
                <w:rtl w:val="0"/>
              </w:rPr>
              <w:t xml:space="preserve">FP</w:t>
            </w:r>
            <w:r w:rsidDel="00000000" w:rsidR="00000000" w:rsidRPr="00000000">
              <w:rPr>
                <w:sz w:val="18"/>
                <w:szCs w:val="18"/>
                <w:vertAlign w:val="baseline"/>
                <w:rtl w:val="0"/>
              </w:rPr>
              <w:t xml:space="preserve"> = $11.00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CatBoost (Calibrated)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Standard Cost-Blind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Empirical Counts + Assumed MPC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0.5000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TP=205, FP=102, TN=933, FN=169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307 / 1,409 (21.79%)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Rec=54.8%, Prec=66.8%, F1=0.602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10,358total(</m:t>
              </m:r>
            </m:oMath>
            <w:r w:rsidDel="00000000" w:rsidR="00000000" w:rsidRPr="00000000">
              <w:rPr>
                <w:sz w:val="18"/>
                <w:szCs w:val="18"/>
                <w:vertAlign w:val="baseline"/>
                <w:rtl w:val="0"/>
              </w:rPr>
              <w:t xml:space="preserve">7.35 / customer)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Logistic Regression (Calibrated)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Standard Cost-Blind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Empirical Counts + Assumed MPC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0.5000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TP=202, FP=108, TN=927, FN=172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310 / 1,409 (22.00%)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Rec=54.0%, Prec=65.2%, F1=0.590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10,124total(</m:t>
              </m:r>
            </m:oMath>
            <w:r w:rsidDel="00000000" w:rsidR="00000000" w:rsidRPr="00000000">
              <w:rPr>
                <w:sz w:val="18"/>
                <w:szCs w:val="18"/>
                <w:vertAlign w:val="baseline"/>
                <w:rtl w:val="0"/>
              </w:rPr>
              <w:t xml:space="preserve">7.19 / customer)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CatBoost (Cost-Sensitive)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i w:val="1"/>
                <w:iCs w:val="1"/>
                <w:sz w:val="18"/>
                <w:szCs w:val="18"/>
                <w:vertAlign w:val="baseline"/>
                <w:rtl w:val="0"/>
              </w:rPr>
              <w:t xml:space="preserve">w</w:t>
            </w:r>
            <w:r w:rsidDel="00000000" w:rsidR="00000000" w:rsidRPr="00000000">
              <w:rPr>
                <w:sz w:val="18"/>
                <w:szCs w:val="18"/>
                <w:vertAlign w:val="subscript"/>
                <w:rtl w:val="0"/>
              </w:rPr>
              <w:t xml:space="preserve">1</w:t>
            </w:r>
            <w:r w:rsidDel="00000000" w:rsidR="00000000" w:rsidRPr="00000000">
              <w:rPr>
                <w:sz w:val="18"/>
                <w:szCs w:val="18"/>
                <w:vertAlign w:val="baseline"/>
                <w:rtl w:val="0"/>
              </w:rPr>
              <w:t xml:space="preserve"> = 2.7686 at raw 0.50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Empirical Counts + Assumed MPC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0.2654 (Implicit)</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TP=297, FP=235, TN=800, FN=77</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532 / 1,409 (37.76%)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Rec=79.4%, Prec=55.8%, F1=0.655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14,047total(</m:t>
              </m:r>
            </m:oMath>
            <w:r w:rsidDel="00000000" w:rsidR="00000000" w:rsidRPr="00000000">
              <w:rPr>
                <w:sz w:val="18"/>
                <w:szCs w:val="18"/>
                <w:vertAlign w:val="baseline"/>
                <w:rtl w:val="0"/>
              </w:rPr>
              <w:t xml:space="preserve">9.97 / customer)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LightGBM (Cost-Sensitive)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i w:val="1"/>
                <w:iCs w:val="1"/>
                <w:sz w:val="18"/>
                <w:szCs w:val="18"/>
                <w:vertAlign w:val="baseline"/>
                <w:rtl w:val="0"/>
              </w:rPr>
              <w:t xml:space="preserve">w</w:t>
            </w:r>
            <w:r w:rsidDel="00000000" w:rsidR="00000000" w:rsidRPr="00000000">
              <w:rPr>
                <w:sz w:val="18"/>
                <w:szCs w:val="18"/>
                <w:vertAlign w:val="subscript"/>
                <w:rtl w:val="0"/>
              </w:rPr>
              <w:t xml:space="preserve">1</w:t>
            </w:r>
            <w:r w:rsidDel="00000000" w:rsidR="00000000" w:rsidRPr="00000000">
              <w:rPr>
                <w:sz w:val="18"/>
                <w:szCs w:val="18"/>
                <w:vertAlign w:val="baseline"/>
                <w:rtl w:val="0"/>
              </w:rPr>
              <w:t xml:space="preserve"> = 2.7686 at raw 0.50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Empirical Counts + Assumed MPC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0.2654 (Implicit)</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TP=296, FP=239, TN=796, FN=78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535 / 1,409 (37.97%)</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Rec=79.1%, Prec=55.3%, F1=0.651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13,947total(</m:t>
              </m:r>
            </m:oMath>
            <w:r w:rsidDel="00000000" w:rsidR="00000000" w:rsidRPr="00000000">
              <w:rPr>
                <w:sz w:val="18"/>
                <w:szCs w:val="18"/>
                <w:vertAlign w:val="baseline"/>
                <w:rtl w:val="0"/>
              </w:rPr>
              <w:t xml:space="preserve">9.90 / customer)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CatBoost (Train-Only SMOTE-ENN)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π</w:t>
            </w:r>
            <w:r w:rsidDel="00000000" w:rsidR="00000000" w:rsidRPr="00000000">
              <w:rPr>
                <w:sz w:val="18"/>
                <w:szCs w:val="18"/>
                <w:vertAlign w:val="subscript"/>
                <w:rtl w:val="0"/>
              </w:rPr>
              <w:t xml:space="preserve">train</w:t>
            </w:r>
            <w:r w:rsidDel="00000000" w:rsidR="00000000" w:rsidRPr="00000000">
              <w:rPr>
                <w:sz w:val="18"/>
                <w:szCs w:val="18"/>
                <w:vertAlign w:val="baseline"/>
                <w:rtl w:val="0"/>
              </w:rPr>
              <w:t xml:space="preserve"> = 0.5829 at raw 0.50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Empirical Counts + Assumed MPC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0.2054 (Implicit)</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TP=318, FP=288, TN=747, FN=56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606 / 1,409 (43.01%)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Rec=85.0%, Prec=52.5%, F1=0.649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14,640total(</m:t>
              </m:r>
            </m:oMath>
            <w:r w:rsidDel="00000000" w:rsidR="00000000" w:rsidRPr="00000000">
              <w:rPr>
                <w:sz w:val="18"/>
                <w:szCs w:val="18"/>
                <w:vertAlign w:val="baseline"/>
                <w:rtl w:val="0"/>
              </w:rPr>
              <w:t xml:space="preserve">10.39 / customer)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LightGBM (Train-Only SMOTE-ENN)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π</w:t>
            </w:r>
            <w:r w:rsidDel="00000000" w:rsidR="00000000" w:rsidRPr="00000000">
              <w:rPr>
                <w:sz w:val="18"/>
                <w:szCs w:val="18"/>
                <w:vertAlign w:val="subscript"/>
                <w:rtl w:val="0"/>
              </w:rPr>
              <w:t xml:space="preserve">train</w:t>
            </w:r>
            <w:r w:rsidDel="00000000" w:rsidR="00000000" w:rsidRPr="00000000">
              <w:rPr>
                <w:sz w:val="18"/>
                <w:szCs w:val="18"/>
                <w:vertAlign w:val="baseline"/>
                <w:rtl w:val="0"/>
              </w:rPr>
              <w:t xml:space="preserve"> = 0.5829 at raw 0.50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Empirical Counts + Assumed MPC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0.2054 (Implicit)</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TP=320, FP=294, TN=741, FN=54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614 / 1,409 (43.58%)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Rec=85.6%, Prec=52.1%, F1=0.648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14,686total(</m:t>
              </m:r>
            </m:oMath>
            <w:r w:rsidDel="00000000" w:rsidR="00000000" w:rsidRPr="00000000">
              <w:rPr>
                <w:sz w:val="18"/>
                <w:szCs w:val="18"/>
                <w:vertAlign w:val="baseline"/>
                <w:rtl w:val="0"/>
              </w:rPr>
              <w:t xml:space="preserve">10.42 / customer)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CatBoost (EMPC-Optimal)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Bayes Profit Cutoff</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Empirical Counts + Assumed MPC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0.1642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TP=332, FP=341, TN=694, FN=42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673 / 1,409 (47.76%)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Rec=88.8%, Prec=49.3%, F1=0.634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m:oMath>
              <m:r>
                <w:rPr>
                  <w:b w:val="1"/>
                  <w:bCs w:val="1"/>
                  <w:sz w:val="18"/>
                  <w:szCs w:val="18"/>
                  <w:vertAlign w:val="baseline"/>
                </w:rPr>
                <m:t xml:space="preserve">14,841total(</m:t>
              </m:r>
            </m:oMath>
            <w:r w:rsidDel="00000000" w:rsidR="00000000" w:rsidRPr="00000000">
              <w:rPr>
                <w:b w:val="1"/>
                <w:bCs w:val="1"/>
                <w:sz w:val="18"/>
                <w:szCs w:val="18"/>
                <w:vertAlign w:val="baseline"/>
                <w:rtl w:val="0"/>
              </w:rPr>
              <w:t xml:space="preserve">10.53 / customer; EMPC = $10.61)</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Uncalibrated SMOTE-ENN Trap</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Raw </w:t>
            </w:r>
            <w:r w:rsidDel="00000000" w:rsidR="00000000" w:rsidRPr="00000000">
              <w:rPr>
                <w:i w:val="1"/>
                <w:iCs w:val="1"/>
                <w:sz w:val="18"/>
                <w:szCs w:val="18"/>
                <w:vertAlign w:val="baseline"/>
                <w:rtl w:val="0"/>
              </w:rPr>
              <w:t xml:space="preserve">t</w:t>
            </w:r>
            <w:r w:rsidDel="00000000" w:rsidR="00000000" w:rsidRPr="00000000">
              <w:rPr>
                <w:sz w:val="18"/>
                <w:szCs w:val="18"/>
                <w:vertAlign w:val="baseline"/>
                <w:rtl w:val="0"/>
              </w:rPr>
              <w:t xml:space="preserve"> = 0.1642 without calibration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Methodological Trap Diagnostic</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0.0480 (Effective)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TP=366, FP=782, TN=253, FN=8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1,148 / 1,409 (81.48%)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Rec=97.9%, Prec=31.9%, F1=0.481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11,894total(</m:t>
              </m:r>
            </m:oMath>
            <w:r w:rsidDel="00000000" w:rsidR="00000000" w:rsidRPr="00000000">
              <w:rPr>
                <w:sz w:val="18"/>
                <w:szCs w:val="18"/>
                <w:vertAlign w:val="baseline"/>
                <w:rtl w:val="0"/>
              </w:rPr>
              <w:t xml:space="preserve">8.44 / customer; 782 FPs erode profit)</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Technical Challenges Faced &amp; Methodological Resolutions in Step 4</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C4.1 (Preventing Unverified Extrapolation of Campaign Economics):</w:t>
      </w:r>
      <w:r w:rsidDel="00000000" w:rsidR="00000000" w:rsidRPr="00000000">
        <w:rPr>
          <w:rtl w:val="0"/>
        </w:rPr>
        <w:t xml:space="preserve"> Standard churn datasets lack proprietary campaign conversion logs. Rather than treating dollar figures as intrinsic dataset properties, we isolated all empirical classification quantities (TP, FP, TN, FN, recall, precision, and target fraction η) from the assumed Verbraken/Höppner economic parameters (CLV = $200, d = $10, f = $1, γ ~ Beta(6,14)) and added a heterogeneity formulation in </w:t>
      </w:r>
      <w:hyperlink r:id="rId33">
        <w:r w:rsidDel="00000000" w:rsidR="00000000" w:rsidRPr="00000000">
          <w:rPr>
            <w:color w:val="0000ee"/>
            <w:u w:val="single"/>
            <w:rtl w:val="0"/>
          </w:rPr>
          <w:t xml:space="preserve">Step4_EMPC_Profit_Threshold_Optimization.ipynb</w:t>
        </w:r>
      </w:hyperlink>
      <w:r w:rsidDel="00000000" w:rsidR="00000000" w:rsidRPr="00000000">
        <w:rPr>
          <w:rtl w:val="0"/>
        </w:rPr>
        <w:t xml:space="preserve"> that weights customer-level value using empirical MonthlyCharges.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C4.2 (Uncovering the Implicit Threshold Equivalence &amp; Double-Counting Trap):</w:t>
      </w:r>
      <w:r w:rsidDel="00000000" w:rsidR="00000000" w:rsidRPr="00000000">
        <w:rPr>
          <w:rtl w:val="0"/>
        </w:rPr>
        <w:t xml:space="preserve"> By Bayes' rule under prior shift, applying a 0.50 cutoff to a classifier trained with class weight w_1 = (1 - π) / π = 2.7686 is mathematically equivalent to applying t_cal = π = 0.2654 to calibrated probabilities, while applying 0.50 after Train-Only SMOTE-ENN (π_SMOTE-ENN = 0.5829) corresponds to t_cal = 0.2054 (nearly identical to the 25th-percentile EMPC threshold 0.2068). Crucially, applying t_opt = 0.1642 directly to uncalibrated SMOTE-ENN probabilities double-counts the asymmetry, depressing the effective calibrated cutoff to 0.0480 and targeting 81.48% of the customer base (782 False Positives). Prior-shift probability calibration resolves this pathology cleanly.</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C4.3 (Notebook-Native Visualization Architecture):</w:t>
      </w:r>
      <w:r w:rsidDel="00000000" w:rsidR="00000000" w:rsidRPr="00000000">
        <w:rPr>
          <w:rtl w:val="0"/>
        </w:rPr>
        <w:t xml:space="preserve"> In accordance with the updated project workflow, we eliminated standalone pre-generated chart image files and structured </w:t>
      </w:r>
      <w:hyperlink r:id="rId34">
        <w:r w:rsidDel="00000000" w:rsidR="00000000" w:rsidRPr="00000000">
          <w:rPr>
            <w:color w:val="0000ee"/>
            <w:u w:val="single"/>
            <w:rtl w:val="0"/>
          </w:rPr>
          <w:t xml:space="preserve">Step4_EMPC_Profit_Threshold_Optimization.ipynb</w:t>
        </w:r>
      </w:hyperlink>
      <w:r w:rsidDel="00000000" w:rsidR="00000000" w:rsidRPr="00000000">
        <w:rPr>
          <w:rtl w:val="0"/>
        </w:rPr>
        <w:t xml:space="preserve"> so that all multi-panel diagnostic figures (the Beta(6,14) threshold schedule, empirical profit curves across </w:t>
      </w:r>
      <w:r w:rsidDel="00000000" w:rsidR="00000000" w:rsidRPr="00000000">
        <w:rPr>
          <w:i w:val="1"/>
          <w:iCs w:val="1"/>
          <w:rtl w:val="0"/>
        </w:rPr>
        <w:t xml:space="preserve">t</w:t>
      </w:r>
      <w:r w:rsidDel="00000000" w:rsidR="00000000" w:rsidRPr="00000000">
        <w:rPr>
          <w:rFonts w:ascii="Arial Unicode MS" w:cs="Arial Unicode MS" w:eastAsia="Arial Unicode MS" w:hAnsi="Arial Unicode MS"/>
          <w:rtl w:val="0"/>
        </w:rPr>
        <w:t xml:space="preserve"> ∈ (0.01, 0.99), and empirical TP/FP confusion trade-offs) are rendered dynamically by matplotlib/seaborn cells when run inside Google Colab.</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Next Planned Phase (Awaiting User Review)</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Upon approval of Step 4, we will proceed to </w:t>
      </w:r>
      <w:r w:rsidDel="00000000" w:rsidR="00000000" w:rsidRPr="00000000">
        <w:rPr>
          <w:b w:val="1"/>
          <w:bCs w:val="1"/>
          <w:rtl w:val="0"/>
        </w:rPr>
        <w:t xml:space="preserve">Step 5: Demographic Fairness Auditing Across Protected Cohorts (SeniorCitizen and gender)</w:t>
      </w:r>
      <w:r w:rsidDel="00000000" w:rsidR="00000000" w:rsidRPr="00000000">
        <w:rPr>
          <w:rtl w:val="0"/>
        </w:rPr>
        <w:t xml:space="preserve">, evaluating Disparate Impact Ratio (DIR), Equal Opportunity Difference (ΔTPR), Predictive Equality (ΔFPR), and Average Odds Difference across standard (t = 0.50) and EMPC-optimal (t = 0.1642) operating thresholds, with all visualizations coded directly inside the Step 5 Colab notebook.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before="240" w:lineRule="auto"/>
    </w:pPr>
    <w:rPr>
      <w:b w:val="1"/>
      <w:bCs w:val="1"/>
      <w:i w:val="0"/>
      <w:iCs w:val="0"/>
      <w:color w:val="111827"/>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20" w:lineRule="auto"/>
    </w:pPr>
    <w:rPr>
      <w:b w:val="1"/>
      <w:bCs w:val="1"/>
      <w:i w:val="0"/>
      <w:iCs w:val="0"/>
      <w:color w:val="1e3a8a"/>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0f172a"/>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GjIP3YVl_MZsX3c0GwtYmWLz5tk_cgHn4UiCMN2ZH5s/edit?usp=drivesdk&amp;ouid=118200887470037407082" TargetMode="External"/><Relationship Id="rId22" Type="http://schemas.openxmlformats.org/officeDocument/2006/relationships/hyperlink" Target="https://docs.google.com/spreadsheets/d/1-zmJO4eMpJanOG-FcM7nSBhJIWWSLBLniwdoVQyZxLE/edit?usp=drivesdk&amp;ouid=118200887470037407082" TargetMode="External"/><Relationship Id="rId21" Type="http://schemas.openxmlformats.org/officeDocument/2006/relationships/hyperlink" Target="https://docs.google.com/spreadsheets/d/1ATPZsJ7T-TImNr1mQaTSDBkOwR-NEKjrJNOSPQ_RtjU/edit?usp=drivesdk&amp;ouid=118200887470037407082" TargetMode="External"/><Relationship Id="rId24" Type="http://schemas.openxmlformats.org/officeDocument/2006/relationships/hyperlink" Target="https://arxiv.org/html/2509.22654v1" TargetMode="External"/><Relationship Id="rId23" Type="http://schemas.openxmlformats.org/officeDocument/2006/relationships/hyperlink" Target="https://raw.githubusercontent.com/IBM/telco-customer-churn-on-icp4d/master/data/Telco-Customer-Churn.cs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1712.08101" TargetMode="External"/><Relationship Id="rId26" Type="http://schemas.openxmlformats.org/officeDocument/2006/relationships/hyperlink" Target="https://www.mdpi.com/2504-4990/7/3/105" TargetMode="External"/><Relationship Id="rId25" Type="http://schemas.openxmlformats.org/officeDocument/2006/relationships/hyperlink" Target="https://arxiv.org/html/2509.22654v1" TargetMode="External"/><Relationship Id="rId28" Type="http://schemas.openxmlformats.org/officeDocument/2006/relationships/hyperlink" Target="https://colab.research.google.com/drive/1SayrTpcngJ-rSGE2fSsCdYcHI-gQxudN?ouid=118200887470037407082" TargetMode="External"/><Relationship Id="rId27" Type="http://schemas.openxmlformats.org/officeDocument/2006/relationships/hyperlink" Target="https://arxiv.org/pdf/1712.08101" TargetMode="External"/><Relationship Id="rId5" Type="http://schemas.openxmlformats.org/officeDocument/2006/relationships/styles" Target="styles.xml"/><Relationship Id="rId6" Type="http://schemas.openxmlformats.org/officeDocument/2006/relationships/hyperlink" Target="https://drive.google.com/drive/folders/1Ezm-WHotbmqcDGBjJlD4k5rz5ER4lMMW" TargetMode="External"/><Relationship Id="rId29" Type="http://schemas.openxmlformats.org/officeDocument/2006/relationships/hyperlink" Target="https://arxiv.org/html/2509.22654v1" TargetMode="External"/><Relationship Id="rId7" Type="http://schemas.openxmlformats.org/officeDocument/2006/relationships/hyperlink" Target="https://arxiv.org/html/2509.22654v1" TargetMode="External"/><Relationship Id="rId8" Type="http://schemas.openxmlformats.org/officeDocument/2006/relationships/hyperlink" Target="https://www.mdpi.com/2504-4990/7/3/105" TargetMode="External"/><Relationship Id="rId31" Type="http://schemas.openxmlformats.org/officeDocument/2006/relationships/hyperlink" Target="https://docs.google.com/spreadsheets/d/1-zmJO4eMpJanOG-FcM7nSBhJIWWSLBLniwdoVQyZxLE/edit?usp=drivesdk&amp;ouid=118200887470037407082" TargetMode="External"/><Relationship Id="rId30" Type="http://schemas.openxmlformats.org/officeDocument/2006/relationships/hyperlink" Target="https://arxiv.org/pdf/1712.08101" TargetMode="External"/><Relationship Id="rId11" Type="http://schemas.openxmlformats.org/officeDocument/2006/relationships/hyperlink" Target="https://drive.google.com/drive/folders/1HW1sO3_R31ULPSl2pUz8y4lFJz-3VKjZ" TargetMode="External"/><Relationship Id="rId33" Type="http://schemas.openxmlformats.org/officeDocument/2006/relationships/hyperlink" Target="https://colab.research.google.com/drive/1SayrTpcngJ-rSGE2fSsCdYcHI-gQxudN?ouid=118200887470037407082" TargetMode="External"/><Relationship Id="rId10" Type="http://schemas.openxmlformats.org/officeDocument/2006/relationships/hyperlink" Target="https://drive.google.com/drive/folders/1Ezm-WHotbmqcDGBjJlD4k5rz5ER4lMMW" TargetMode="External"/><Relationship Id="rId32" Type="http://schemas.openxmlformats.org/officeDocument/2006/relationships/hyperlink" Target="https://arxiv.org/pdf/1712.08101" TargetMode="External"/><Relationship Id="rId13" Type="http://schemas.openxmlformats.org/officeDocument/2006/relationships/hyperlink" Target="https://drive.google.com/drive/folders/1uzXRD7b_tvKJl_K2bN5NmURB5WHhee0x" TargetMode="External"/><Relationship Id="rId12" Type="http://schemas.openxmlformats.org/officeDocument/2006/relationships/hyperlink" Target="https://docs.google.com/spreadsheets/d/1xMIuDXa3p7ezY09A8W4h8QF9CdkpIF_vDX7-wYER1mE/edit?usp=drivesdk&amp;ouid=118200887470037407082" TargetMode="External"/><Relationship Id="rId34" Type="http://schemas.openxmlformats.org/officeDocument/2006/relationships/hyperlink" Target="https://colab.research.google.com/drive/1SayrTpcngJ-rSGE2fSsCdYcHI-gQxudN?ouid=118200887470037407082" TargetMode="External"/><Relationship Id="rId15" Type="http://schemas.openxmlformats.org/officeDocument/2006/relationships/hyperlink" Target="https://colab.research.google.com/drive/1JD00XqCQkD-ZaGziI44stMPxf_KH2CGP?ouid=118200887470037407082" TargetMode="External"/><Relationship Id="rId14" Type="http://schemas.openxmlformats.org/officeDocument/2006/relationships/hyperlink" Target="https://colab.research.google.com/drive/1v9w5HjaoseUO7UlVuK_HetcQj4GaEuc3?ouid=118200887470037407082" TargetMode="External"/><Relationship Id="rId17" Type="http://schemas.openxmlformats.org/officeDocument/2006/relationships/hyperlink" Target="https://colab.research.google.com/drive/1SayrTpcngJ-rSGE2fSsCdYcHI-gQxudN?ouid=118200887470037407082" TargetMode="External"/><Relationship Id="rId16" Type="http://schemas.openxmlformats.org/officeDocument/2006/relationships/hyperlink" Target="https://colab.research.google.com/drive/12YjYLrPViAZwDMg44uovqjXd4a4ayYFt?ouid=118200887470037407082" TargetMode="External"/><Relationship Id="rId19" Type="http://schemas.openxmlformats.org/officeDocument/2006/relationships/hyperlink" Target="https://docs.google.com/spreadsheets/d/1O2fVB3jhFS6PDUsCTHWBA0xofPdz7qGEoaf4i7Ox4H0/edit?usp=drivesdk&amp;ouid=118200887470037407082" TargetMode="External"/><Relationship Id="rId18" Type="http://schemas.openxmlformats.org/officeDocument/2006/relationships/hyperlink" Target="https://drive.google.com/drive/folders/1HCHLSVWFjPYjGSlekJp6pMXTcjnrY3C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