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Profit-Driven, Fairness-Audited, and Explainable Telecom Customer Churn Prediction: A Step-by-Step Scientific Investigation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20" w:lineRule="auto"/>
        <w:rPr>
          <w:color w:val="475569"/>
          <w:sz w:val="20"/>
          <w:szCs w:val="20"/>
        </w:rPr>
      </w:pPr>
      <w:r w:rsidDel="00000000" w:rsidR="00000000" w:rsidRPr="00000000">
        <w:rPr>
          <w:b w:val="1"/>
          <w:bCs w:val="1"/>
          <w:color w:val="475569"/>
          <w:sz w:val="20"/>
          <w:szCs w:val="20"/>
          <w:rtl w:val="0"/>
        </w:rPr>
        <w:t xml:space="preserve">Project Workspace:</w:t>
      </w:r>
      <w:r w:rsidDel="00000000" w:rsidR="00000000" w:rsidRPr="00000000">
        <w:rPr>
          <w:color w:val="475569"/>
          <w:sz w:val="20"/>
          <w:szCs w:val="20"/>
          <w:rtl w:val="0"/>
        </w:rPr>
        <w:t xml:space="preserve"> </w:t>
      </w:r>
      <w:hyperlink r:id="rId6">
        <w:r w:rsidDel="00000000" w:rsidR="00000000" w:rsidRPr="00000000">
          <w:rPr>
            <w:color w:val="0000ee"/>
            <w:sz w:val="20"/>
            <w:szCs w:val="20"/>
            <w:u w:val="single"/>
            <w:rtl w:val="0"/>
          </w:rPr>
          <w:t xml:space="preserve">Project1_Telecom_Churn_EMPC_Fairness_XAI</w:t>
        </w:r>
      </w:hyperlink>
      <w:r w:rsidDel="00000000" w:rsidR="00000000" w:rsidRPr="00000000">
        <w:rPr>
          <w:color w:val="475569"/>
          <w:sz w:val="20"/>
          <w:szCs w:val="20"/>
          <w:rtl w:val="0"/>
        </w:rPr>
        <w:t xml:space="preserve"> | </w:t>
      </w:r>
      <w:r w:rsidDel="00000000" w:rsidR="00000000" w:rsidRPr="00000000">
        <w:rPr>
          <w:b w:val="1"/>
          <w:bCs w:val="1"/>
          <w:color w:val="475569"/>
          <w:sz w:val="20"/>
          <w:szCs w:val="20"/>
          <w:rtl w:val="0"/>
        </w:rPr>
        <w:t xml:space="preserve">Benchmark Dataset:</w:t>
      </w:r>
      <w:r w:rsidDel="00000000" w:rsidR="00000000" w:rsidRPr="00000000">
        <w:rPr>
          <w:color w:val="475569"/>
          <w:sz w:val="20"/>
          <w:szCs w:val="20"/>
          <w:rtl w:val="0"/>
        </w:rPr>
        <w:t xml:space="preserve"> IBM Telco Customer Churn (WA_Fn-UseC_-Telco-Customer-Churn.csv, </w:t>
      </w:r>
      <w:r w:rsidDel="00000000" w:rsidR="00000000" w:rsidRPr="00000000">
        <w:rPr>
          <w:i w:val="1"/>
          <w:iCs w:val="1"/>
          <w:color w:val="475569"/>
          <w:sz w:val="20"/>
          <w:szCs w:val="20"/>
          <w:rtl w:val="0"/>
        </w:rPr>
        <w:t xml:space="preserve">N</w:t>
      </w:r>
      <w:r w:rsidDel="00000000" w:rsidR="00000000" w:rsidRPr="00000000">
        <w:rPr>
          <w:color w:val="475569"/>
          <w:sz w:val="20"/>
          <w:szCs w:val="20"/>
          <w:rtl w:val="0"/>
        </w:rPr>
        <w:t xml:space="preserve"> = 7,043) | </w:t>
      </w:r>
      <w:r w:rsidDel="00000000" w:rsidR="00000000" w:rsidRPr="00000000">
        <w:rPr>
          <w:b w:val="1"/>
          <w:bCs w:val="1"/>
          <w:color w:val="475569"/>
          <w:sz w:val="20"/>
          <w:szCs w:val="20"/>
          <w:rtl w:val="0"/>
        </w:rPr>
        <w:t xml:space="preserve">Status:</w:t>
      </w:r>
      <w:r w:rsidDel="00000000" w:rsidR="00000000" w:rsidRPr="00000000">
        <w:rPr>
          <w:color w:val="475569"/>
          <w:sz w:val="20"/>
          <w:szCs w:val="20"/>
          <w:rtl w:val="0"/>
        </w:rPr>
        <w:t xml:space="preserve"> Steps 1, 2, 3, 4 &amp; 5 Completed; Step 6 Pending User Review</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Abstract &amp; Research Motivation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Customer churn prediction in competitive telecommunications markets faces three persistent methodological gaps documented in recent literature (</w:t>
      </w:r>
      <w:hyperlink r:id="rId7">
        <w:r w:rsidDel="00000000" w:rsidR="00000000" w:rsidRPr="00000000">
          <w:rPr>
            <w:color w:val="0000ee"/>
            <w:u w:val="single"/>
            <w:rtl w:val="0"/>
          </w:rPr>
          <w:t xml:space="preserve">Chen et al., 2025</w:t>
        </w:r>
      </w:hyperlink>
      <w:r w:rsidDel="00000000" w:rsidR="00000000" w:rsidRPr="00000000">
        <w:rPr>
          <w:rtl w:val="0"/>
        </w:rPr>
        <w:t xml:space="preserve">; </w:t>
      </w:r>
      <w:hyperlink r:id="rId8">
        <w:r w:rsidDel="00000000" w:rsidR="00000000" w:rsidRPr="00000000">
          <w:rPr>
            <w:color w:val="0000ee"/>
            <w:u w:val="single"/>
            <w:rtl w:val="0"/>
          </w:rPr>
          <w:t xml:space="preserve">Imani et al., 2025</w:t>
        </w:r>
      </w:hyperlink>
      <w:r w:rsidDel="00000000" w:rsidR="00000000" w:rsidRPr="00000000">
        <w:rPr>
          <w:rtl w:val="0"/>
        </w:rPr>
        <w:t xml:space="preserve">; </w:t>
      </w:r>
      <w:hyperlink r:id="rId9">
        <w:r w:rsidDel="00000000" w:rsidR="00000000" w:rsidRPr="00000000">
          <w:rPr>
            <w:color w:val="0000ee"/>
            <w:u w:val="single"/>
            <w:rtl w:val="0"/>
          </w:rPr>
          <w:t xml:space="preserve">Höppner et al., 2020</w:t>
        </w:r>
      </w:hyperlink>
      <w:r w:rsidDel="00000000" w:rsidR="00000000" w:rsidRPr="00000000">
        <w:rPr>
          <w:rtl w:val="0"/>
        </w:rPr>
        <w:t xml:space="preserve">): (1) optimizing symmetric accuracy or F1-score at a fixed 0.50 probability cutoff rather than maximizing net retention profit via Expected Maximum Profit for Customer Churn (EMPC), (2) overlooking demographic disparate impact across protected cohorts (such as SeniorCitizen and gender), and (3) deploying black-box ensembles without post-hoc feature attribution (SHAP) to guide individualized customer retention interventions. This living scientific report documents our step-by-step experimental implementation, methodological decisions, empirical findings, and engineering challenges resolved at each stage.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Project Architecture &amp; Reproducible Artifact Index</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Root Project Folder:</w:t>
      </w:r>
      <w:r w:rsidDel="00000000" w:rsidR="00000000" w:rsidRPr="00000000">
        <w:rPr>
          <w:rtl w:val="0"/>
        </w:rPr>
        <w:t xml:space="preserve"> </w:t>
      </w:r>
      <w:hyperlink r:id="rId10">
        <w:r w:rsidDel="00000000" w:rsidR="00000000" w:rsidRPr="00000000">
          <w:rPr>
            <w:color w:val="0000ee"/>
            <w:u w:val="single"/>
            <w:rtl w:val="0"/>
          </w:rPr>
          <w:t xml:space="preserve">Project1_Telecom_Churn_EMPC_Fairness_XAI</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01_Data:</w:t>
      </w:r>
      <w:r w:rsidDel="00000000" w:rsidR="00000000" w:rsidRPr="00000000">
        <w:rPr>
          <w:rtl w:val="0"/>
        </w:rPr>
        <w:t xml:space="preserve"> </w:t>
      </w:r>
      <w:hyperlink r:id="rId11">
        <w:r w:rsidDel="00000000" w:rsidR="00000000" w:rsidRPr="00000000">
          <w:rPr>
            <w:color w:val="0000ee"/>
            <w:u w:val="single"/>
            <w:rtl w:val="0"/>
          </w:rPr>
          <w:t xml:space="preserve">01_Data Folder</w:t>
        </w:r>
      </w:hyperlink>
      <w:r w:rsidDel="00000000" w:rsidR="00000000" w:rsidRPr="00000000">
        <w:rPr>
          <w:rtl w:val="0"/>
        </w:rPr>
        <w:t xml:space="preserve"> — Anomaly Audit Sheet: </w:t>
      </w:r>
      <w:hyperlink r:id="rId12">
        <w:r w:rsidDel="00000000" w:rsidR="00000000" w:rsidRPr="00000000">
          <w:rPr>
            <w:color w:val="0000ee"/>
            <w:u w:val="single"/>
            <w:rtl w:val="0"/>
          </w:rPr>
          <w:t xml:space="preserve">Telco_Churn_11_Blank_TotalCharges_Audit</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02_Colab_Notebooks:</w:t>
      </w:r>
      <w:r w:rsidDel="00000000" w:rsidR="00000000" w:rsidRPr="00000000">
        <w:rPr>
          <w:rtl w:val="0"/>
        </w:rPr>
        <w:t xml:space="preserve"> </w:t>
      </w:r>
      <w:hyperlink r:id="rId13">
        <w:r w:rsidDel="00000000" w:rsidR="00000000" w:rsidRPr="00000000">
          <w:rPr>
            <w:color w:val="0000ee"/>
            <w:u w:val="single"/>
            <w:rtl w:val="0"/>
          </w:rPr>
          <w:t xml:space="preserve">02_Colab_Notebooks Folder</w:t>
        </w:r>
      </w:hyperlink>
      <w:r w:rsidDel="00000000" w:rsidR="00000000" w:rsidRPr="00000000">
        <w:rPr>
          <w:rtl w:val="0"/>
        </w:rPr>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1 Notebook: </w:t>
      </w:r>
      <w:hyperlink r:id="rId14">
        <w:r w:rsidDel="00000000" w:rsidR="00000000" w:rsidRPr="00000000">
          <w:rPr>
            <w:color w:val="0000ee"/>
            <w:u w:val="single"/>
            <w:rtl w:val="0"/>
          </w:rPr>
          <w:t xml:space="preserve">Step1_Data_Hygiene_Audit_and_EDA.ipynb</w:t>
        </w:r>
      </w:hyperlink>
      <w:r w:rsidDel="00000000" w:rsidR="00000000" w:rsidRPr="00000000">
        <w:rPr>
          <w:rtl w:val="0"/>
        </w:rPr>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2 Notebook: </w:t>
      </w:r>
      <w:hyperlink r:id="rId15">
        <w:r w:rsidDel="00000000" w:rsidR="00000000" w:rsidRPr="00000000">
          <w:rPr>
            <w:color w:val="0000ee"/>
            <w:u w:val="single"/>
            <w:rtl w:val="0"/>
          </w:rPr>
          <w:t xml:space="preserve">Step2_Feature_Engineering_and_Preprocessing.ipynb</w:t>
        </w:r>
      </w:hyperlink>
      <w:r w:rsidDel="00000000" w:rsidR="00000000" w:rsidRPr="00000000">
        <w:rPr>
          <w:rtl w:val="0"/>
        </w:rPr>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3 Notebook: </w:t>
      </w:r>
      <w:hyperlink r:id="rId16">
        <w:r w:rsidDel="00000000" w:rsidR="00000000" w:rsidRPr="00000000">
          <w:rPr>
            <w:color w:val="0000ee"/>
            <w:u w:val="single"/>
            <w:rtl w:val="0"/>
          </w:rPr>
          <w:t xml:space="preserve">Step3_Imbalance_Mitigation_and_Model_Benchmarking.ipynb</w:t>
        </w:r>
      </w:hyperlink>
      <w:r w:rsidDel="00000000" w:rsidR="00000000" w:rsidRPr="00000000">
        <w:rPr>
          <w:rtl w:val="0"/>
        </w:rPr>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4 Notebook: </w:t>
      </w:r>
      <w:hyperlink r:id="rId17">
        <w:r w:rsidDel="00000000" w:rsidR="00000000" w:rsidRPr="00000000">
          <w:rPr>
            <w:color w:val="0000ee"/>
            <w:u w:val="single"/>
            <w:rtl w:val="0"/>
          </w:rPr>
          <w:t xml:space="preserve">Step4_EMPC_Profit_Threshold_Optimization.ipynb</w:t>
        </w:r>
      </w:hyperlink>
      <w:r w:rsidDel="00000000" w:rsidR="00000000" w:rsidRPr="00000000">
        <w:rPr>
          <w:rtl w:val="0"/>
        </w:rPr>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5 Notebook: </w:t>
      </w:r>
      <w:hyperlink r:id="rId18">
        <w:r w:rsidDel="00000000" w:rsidR="00000000" w:rsidRPr="00000000">
          <w:rPr>
            <w:color w:val="0000ee"/>
            <w:u w:val="single"/>
            <w:rtl w:val="0"/>
          </w:rPr>
          <w:t xml:space="preserve">Step5_Demographic_Fairness_Audit.ipynb</w:t>
        </w:r>
      </w:hyperlink>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03_Figures_and_Tables:</w:t>
      </w:r>
      <w:r w:rsidDel="00000000" w:rsidR="00000000" w:rsidRPr="00000000">
        <w:rPr>
          <w:rtl w:val="0"/>
        </w:rPr>
        <w:t xml:space="preserve"> </w:t>
      </w:r>
      <w:hyperlink r:id="rId19">
        <w:r w:rsidDel="00000000" w:rsidR="00000000" w:rsidRPr="00000000">
          <w:rPr>
            <w:color w:val="0000ee"/>
            <w:u w:val="single"/>
            <w:rtl w:val="0"/>
          </w:rPr>
          <w:t xml:space="preserve">03_Figures_and_Tables Folder</w:t>
        </w:r>
      </w:hyperlink>
      <w:r w:rsidDel="00000000" w:rsidR="00000000" w:rsidRPr="00000000">
        <w:rPr>
          <w:rtl w:val="0"/>
        </w:rPr>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1 Cohort Summary Sheet: </w:t>
      </w:r>
      <w:hyperlink r:id="rId20">
        <w:r w:rsidDel="00000000" w:rsidR="00000000" w:rsidRPr="00000000">
          <w:rPr>
            <w:color w:val="0000ee"/>
            <w:u w:val="single"/>
            <w:rtl w:val="0"/>
          </w:rPr>
          <w:t xml:space="preserve">Step1_Cohort_Churn_Summary_Table</w:t>
        </w:r>
      </w:hyperlink>
      <w:r w:rsidDel="00000000" w:rsidR="00000000" w:rsidRPr="00000000">
        <w:rPr>
          <w:rtl w:val="0"/>
        </w:rPr>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2 VIF &amp; Feature Audit Sheet: </w:t>
      </w:r>
      <w:hyperlink r:id="rId21">
        <w:r w:rsidDel="00000000" w:rsidR="00000000" w:rsidRPr="00000000">
          <w:rPr>
            <w:color w:val="0000ee"/>
            <w:u w:val="single"/>
            <w:rtl w:val="0"/>
          </w:rPr>
          <w:t xml:space="preserve">Step2_Engineered_Features_and_VIF_Audit</w:t>
        </w:r>
      </w:hyperlink>
      <w:r w:rsidDel="00000000" w:rsidR="00000000" w:rsidRPr="00000000">
        <w:rPr>
          <w:rtl w:val="0"/>
        </w:rPr>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3 Multi-Model Benchmark Sheet: </w:t>
      </w:r>
      <w:hyperlink r:id="rId22">
        <w:r w:rsidDel="00000000" w:rsidR="00000000" w:rsidRPr="00000000">
          <w:rPr>
            <w:color w:val="0000ee"/>
            <w:u w:val="single"/>
            <w:rtl w:val="0"/>
          </w:rPr>
          <w:t xml:space="preserve">Step3_MultiModel_Imbalance_Benchmark_Table</w:t>
        </w:r>
      </w:hyperlink>
      <w:r w:rsidDel="00000000" w:rsidR="00000000" w:rsidRPr="00000000">
        <w:rPr>
          <w:rtl w:val="0"/>
        </w:rPr>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4 EMPC Parameter &amp; Threshold Protocol Sheet: </w:t>
      </w:r>
      <w:hyperlink r:id="rId23">
        <w:r w:rsidDel="00000000" w:rsidR="00000000" w:rsidRPr="00000000">
          <w:rPr>
            <w:color w:val="0000ee"/>
            <w:u w:val="single"/>
            <w:rtl w:val="0"/>
          </w:rPr>
          <w:t xml:space="preserve">Step4_EMPC_Parameter_and_Threshold_Protocol</w:t>
        </w:r>
      </w:hyperlink>
      <w:r w:rsidDel="00000000" w:rsidR="00000000" w:rsidRPr="00000000">
        <w:rPr>
          <w:rtl w:val="0"/>
        </w:rPr>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5 Demographic Fairness Audit Sheet: </w:t>
      </w:r>
      <w:hyperlink r:id="rId24">
        <w:r w:rsidDel="00000000" w:rsidR="00000000" w:rsidRPr="00000000">
          <w:rPr>
            <w:color w:val="0000ee"/>
            <w:u w:val="single"/>
            <w:rtl w:val="0"/>
          </w:rPr>
          <w:t xml:space="preserve">Step5_Demographic_Fairness_Audit_Table</w:t>
        </w:r>
      </w:hyperlink>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Step 1: Data Hygiene Audit, Anomaly Resolution &amp; Exploratory Data Analysis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The raw IBM Telco Customer Churn benchmark dataset (</w:t>
      </w:r>
      <w:hyperlink r:id="rId25">
        <w:r w:rsidDel="00000000" w:rsidR="00000000" w:rsidRPr="00000000">
          <w:rPr>
            <w:color w:val="0000ee"/>
            <w:u w:val="single"/>
            <w:rtl w:val="0"/>
          </w:rPr>
          <w:t xml:space="preserve">IBM Telco GitHub Repository</w:t>
        </w:r>
      </w:hyperlink>
      <w:r w:rsidDel="00000000" w:rsidR="00000000" w:rsidRPr="00000000">
        <w:rPr>
          <w:rtl w:val="0"/>
        </w:rPr>
        <w:t xml:space="preserve">; </w:t>
      </w:r>
      <w:hyperlink r:id="rId26">
        <w:r w:rsidDel="00000000" w:rsidR="00000000" w:rsidRPr="00000000">
          <w:rPr>
            <w:color w:val="0000ee"/>
            <w:u w:val="single"/>
            <w:rtl w:val="0"/>
          </w:rPr>
          <w:t xml:space="preserve">Chen et al., 2025</w:t>
        </w:r>
      </w:hyperlink>
      <w:r w:rsidDel="00000000" w:rsidR="00000000" w:rsidRPr="00000000">
        <w:rPr>
          <w:rtl w:val="0"/>
        </w:rPr>
        <w:t xml:space="preserve">) comprises </w:t>
      </w:r>
      <w:r w:rsidDel="00000000" w:rsidR="00000000" w:rsidRPr="00000000">
        <w:rPr>
          <w:i w:val="1"/>
          <w:iCs w:val="1"/>
          <w:rtl w:val="0"/>
        </w:rPr>
        <w:t xml:space="preserve">N</w:t>
      </w:r>
      <w:r w:rsidDel="00000000" w:rsidR="00000000" w:rsidRPr="00000000">
        <w:rPr>
          <w:rtl w:val="0"/>
        </w:rPr>
        <w:t xml:space="preserve"> = 7,043 customer accounts across 21 attributes. Overall empirical churn prevalence is 26.54% (1,869 churners vs. 5,174 retained subscribers, a 2.7686:1 majority-to-minority imbalance ratio). Auditing TotalCharges revealed exactly 11 whitespace strings (" ") caused by tenure == 0 onboarding accounts, all having Churn == "No" and 1-year or 2-year contracts. Imputing TotalCharges = 0.00 preserves all 7,043 rows without survival bias. Bivariate tests confirmed extreme churn concentration in Month-to-month contracts (42.71% churn, χ</w:t>
      </w:r>
      <w:r w:rsidDel="00000000" w:rsidR="00000000" w:rsidRPr="00000000">
        <w:rPr>
          <w:vertAlign w:val="superscript"/>
          <w:rtl w:val="0"/>
        </w:rPr>
        <w:t xml:space="preserve">2</w:t>
      </w:r>
      <w:r w:rsidDel="00000000" w:rsidR="00000000" w:rsidRPr="00000000">
        <w:rPr>
          <w:rtl w:val="0"/>
        </w:rPr>
        <w:t xml:space="preserve"> = 1184.60), Electronic check payment (45.29% churn, χ</w:t>
      </w:r>
      <w:r w:rsidDel="00000000" w:rsidR="00000000" w:rsidRPr="00000000">
        <w:rPr>
          <w:vertAlign w:val="superscript"/>
          <w:rtl w:val="0"/>
        </w:rPr>
        <w:t xml:space="preserve">2</w:t>
      </w:r>
      <w:r w:rsidDel="00000000" w:rsidR="00000000" w:rsidRPr="00000000">
        <w:rPr>
          <w:rtl w:val="0"/>
        </w:rPr>
        <w:t xml:space="preserve"> = 648.14), Fiber optic internet (41.89% churn, χ</w:t>
      </w:r>
      <w:r w:rsidDel="00000000" w:rsidR="00000000" w:rsidRPr="00000000">
        <w:rPr>
          <w:vertAlign w:val="superscript"/>
          <w:rtl w:val="0"/>
        </w:rPr>
        <w:t xml:space="preserve">2</w:t>
      </w:r>
      <w:r w:rsidDel="00000000" w:rsidR="00000000" w:rsidRPr="00000000">
        <w:rPr>
          <w:rtl w:val="0"/>
        </w:rPr>
        <w:t xml:space="preserve"> = 732.31), and Senior Citizens (41.68% vs. 23.61% for non-seniors, χ</w:t>
      </w:r>
      <w:r w:rsidDel="00000000" w:rsidR="00000000" w:rsidRPr="00000000">
        <w:rPr>
          <w:vertAlign w:val="superscript"/>
          <w:rtl w:val="0"/>
        </w:rPr>
        <w:t xml:space="preserve">2</w:t>
      </w:r>
      <w:r w:rsidDel="00000000" w:rsidR="00000000" w:rsidRPr="00000000">
        <w:rPr>
          <w:rtl w:val="0"/>
        </w:rPr>
        <w:t xml:space="preserve"> = 159.43, OR = 2.31).</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Step 2: Domain Feature Engineering &amp; Multicollinearity (VIF) Elimination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Following an 80/20 stratified train-test split (</w:t>
      </w:r>
      <w:r w:rsidDel="00000000" w:rsidR="00000000" w:rsidRPr="00000000">
        <w:rPr>
          <w:i w:val="1"/>
          <w:iCs w:val="1"/>
          <w:rtl w:val="0"/>
        </w:rPr>
        <w:t xml:space="preserve">n</w:t>
      </w:r>
      <w:r w:rsidDel="00000000" w:rsidR="00000000" w:rsidRPr="00000000">
        <w:rPr>
          <w:vertAlign w:val="subscript"/>
          <w:rtl w:val="0"/>
        </w:rPr>
        <w:t xml:space="preserve">train</w:t>
      </w:r>
      <w:r w:rsidDel="00000000" w:rsidR="00000000" w:rsidRPr="00000000">
        <w:rPr>
          <w:rtl w:val="0"/>
        </w:rPr>
        <w:t xml:space="preserve"> = 5,634,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Fonts w:ascii="Arial Unicode MS" w:cs="Arial Unicode MS" w:eastAsia="Arial Unicode MS" w:hAnsi="Arial Unicode MS"/>
          <w:rtl w:val="0"/>
        </w:rPr>
        <w:t xml:space="preserve"> = 1,409; random_state=42), we engineered five behavioral predictors (Charge_Velocity_Ratio, Service_Adoption_Depth, Unprotected_Fiber_Flag, Digital_Friction_Index, and Tenure_Lifecycle_Stage) and resolved two structural Variance Inflation Factor (VIF) pathologies: (1) perfect dummy-trap collinearity (VIF = ∞) across internet/phone sub-services by collapsing redundant "No internet service" indicators, and (2) severe multiplicative collinearity across TotalCharges (VIF = 10.81), tenure (VIF = 7.58), and MonthlyCharges (VIF = 14.85) by replacing raw TotalCharges with Charge_Velocity_Ratio, reducing maximum continuous VIF to 3.84.</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Step 3: Class Imbalance Mitigation &amp; Six-Model Benchmarking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We evaluated six model families (Logistic Regression, Random Forest, XGBoost, LightGBM, CatBoost, and a 3×32 ReLU MLP following </w:t>
      </w:r>
      <w:hyperlink r:id="rId27">
        <w:r w:rsidDel="00000000" w:rsidR="00000000" w:rsidRPr="00000000">
          <w:rPr>
            <w:color w:val="0000ee"/>
            <w:u w:val="single"/>
            <w:rtl w:val="0"/>
          </w:rPr>
          <w:t xml:space="preserve">Chen et al., 2025</w:t>
        </w:r>
      </w:hyperlink>
      <w:r w:rsidDel="00000000" w:rsidR="00000000" w:rsidRPr="00000000">
        <w:rPr>
          <w:rtl w:val="0"/>
        </w:rPr>
        <w:t xml:space="preserve">) across three strictly leakage-free training regimes applied exclusively to </w:t>
      </w:r>
      <w:r w:rsidDel="00000000" w:rsidR="00000000" w:rsidRPr="00000000">
        <w:rPr>
          <w:i w:val="1"/>
          <w:iCs w:val="1"/>
          <w:rtl w:val="0"/>
        </w:rPr>
        <w:t xml:space="preserve">n</w:t>
      </w:r>
      <w:r w:rsidDel="00000000" w:rsidR="00000000" w:rsidRPr="00000000">
        <w:rPr>
          <w:vertAlign w:val="subscript"/>
          <w:rtl w:val="0"/>
        </w:rPr>
        <w:t xml:space="preserve">train</w:t>
      </w:r>
      <w:r w:rsidDel="00000000" w:rsidR="00000000" w:rsidRPr="00000000">
        <w:rPr>
          <w:rtl w:val="0"/>
        </w:rPr>
        <w:t xml:space="preserve"> = 5,634: (R1) Standard Unweighted (t = 0.50), (R2) Cost-Sensitive / Focal Loss (w_1 = 2.7686), and (R3) Train-Only Hybrid SMOTE-ENN (</w:t>
      </w:r>
      <w:hyperlink r:id="rId28">
        <w:r w:rsidDel="00000000" w:rsidR="00000000" w:rsidRPr="00000000">
          <w:rPr>
            <w:color w:val="0000ee"/>
            <w:u w:val="single"/>
            <w:rtl w:val="0"/>
          </w:rPr>
          <w:t xml:space="preserve">Imani et al., 2025</w:t>
        </w:r>
      </w:hyperlink>
      <w:r w:rsidDel="00000000" w:rsidR="00000000" w:rsidRPr="00000000">
        <w:rPr>
          <w:rtl w:val="0"/>
        </w:rPr>
        <w:t xml:space="preserve">). On the untouched test cohort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tl w:val="0"/>
        </w:rPr>
        <w:t xml:space="preserve"> = 1,409), </w:t>
      </w:r>
      <w:r w:rsidDel="00000000" w:rsidR="00000000" w:rsidRPr="00000000">
        <w:rPr>
          <w:b w:val="1"/>
          <w:bCs w:val="1"/>
          <w:rtl w:val="0"/>
        </w:rPr>
        <w:t xml:space="preserve">CatBoost</w:t>
      </w:r>
      <w:r w:rsidDel="00000000" w:rsidR="00000000" w:rsidRPr="00000000">
        <w:rPr>
          <w:rtl w:val="0"/>
        </w:rPr>
        <w:t xml:space="preserve"> achieved the highest ranking discrimination (ROC-AUC = 0.8482, PR-AUC = 0.6654, Brier = 0.1342), while Cost-Sensitive and Train-Only SMOTE-ENN increased minority-class recall from 53.7%–54.8% to 79.1%–85.6%.</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Step 4: Decision Economics &amp; Expected Maximum Profit for Customer Churn (EMPC) Threshold Optimization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Separating empirical held-out test confusion-matrix counts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tl w:val="0"/>
        </w:rPr>
        <w:t xml:space="preserve"> = 1,409) from the canonical assumed campaign parameters of Verbraken et al. (2013) and </w:t>
      </w:r>
      <w:hyperlink r:id="rId29">
        <w:r w:rsidDel="00000000" w:rsidR="00000000" w:rsidRPr="00000000">
          <w:rPr>
            <w:color w:val="0000ee"/>
            <w:u w:val="single"/>
            <w:rtl w:val="0"/>
          </w:rPr>
          <w:t xml:space="preserve">Höppner et al. (2020, Eqs. 14–19)</w:t>
        </w:r>
      </w:hyperlink>
      <w:r w:rsidDel="00000000" w:rsidR="00000000" w:rsidRPr="00000000">
        <w:rPr>
          <w:rtl w:val="0"/>
        </w:rPr>
        <w:t xml:space="preserve"> (CLV = $200, d = $10, f = $1, γ ~ Beta(6,14) with E[γ] = 0.3000, yielding net True Positive benefit b_TP = $56.00 and False Positive cost c_FP = $11.00), we derived the exact Bayes-optimal calibrated cutoff t_opt(0.30) = 11 / (56 + 11) = 0.1642 (16.42%). Shifting calibrated CatBoost from t = 0.5000 (TP=205, FP=102, Rec=54.8%; simulated payoff $10,358) to t_opt = 0.1642 (TP=332, FP=341, Rec=88.8%; target fraction η = 47.76%) captures 127 additional true churners and increases simulated campaign profit to </w:t>
      </w:r>
      <m:oMath>
        <m:r>
          <w:rPr/>
          <m:t xml:space="preserve">14,841(</m:t>
        </m:r>
      </m:oMath>
      <w:r w:rsidDel="00000000" w:rsidR="00000000" w:rsidRPr="00000000">
        <w:rPr>
          <w:rtl w:val="0"/>
        </w:rPr>
        <w:t xml:space="preserve">10.53/customer; +43.3%), while avoiding the uncalibrated SMOTE-ENN double-counting trap (effective t_cal = 0.0480, 782 False Positives).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7. Step 5: Demographic Fairness Auditing Across Protected Cohorts (SeniorCitizen &amp; gender)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7.1 Algorithmic Fairness Framework &amp; Domain Polarity of Retention Interventions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60" w:before="160" w:lineRule="auto"/>
        <w:ind w:left="200" w:right="200" w:firstLine="0"/>
        <w:rPr>
          <w:shd w:fill="f1f5f9" w:val="clear"/>
        </w:rPr>
      </w:pPr>
      <w:r w:rsidDel="00000000" w:rsidR="00000000" w:rsidRPr="00000000">
        <w:rPr>
          <w:b w:val="1"/>
          <w:bCs w:val="1"/>
          <w:shd w:fill="f1f5f9" w:val="clear"/>
          <w:rtl w:val="0"/>
        </w:rPr>
        <w:t xml:space="preserve">Domain Polarity &amp; Epistemic Note:</w:t>
      </w:r>
      <w:r w:rsidDel="00000000" w:rsidR="00000000" w:rsidRPr="00000000">
        <w:rPr>
          <w:shd w:fill="f1f5f9" w:val="clear"/>
          <w:rtl w:val="0"/>
        </w:rPr>
        <w:t xml:space="preserve"> Unlike punitive risk scoring (e.g., credit denial or bail assessment; </w:t>
      </w:r>
      <w:hyperlink r:id="rId30">
        <w:r w:rsidDel="00000000" w:rsidR="00000000" w:rsidRPr="00000000">
          <w:rPr>
            <w:color w:val="0000ee"/>
            <w:u w:val="single"/>
            <w:shd w:fill="f1f5f9" w:val="clear"/>
            <w:rtl w:val="0"/>
          </w:rPr>
          <w:t xml:space="preserve">Chouldechova, 2017</w:t>
        </w:r>
      </w:hyperlink>
      <w:r w:rsidDel="00000000" w:rsidR="00000000" w:rsidRPr="00000000">
        <w:rPr>
          <w:shd w:fill="f1f5f9" w:val="clear"/>
          <w:rtl w:val="0"/>
        </w:rPr>
        <w:t xml:space="preserve">), predicting churn (Y_hat = 1) in proactive customer retention allocates a </w:t>
      </w:r>
      <w:r w:rsidDel="00000000" w:rsidR="00000000" w:rsidRPr="00000000">
        <w:rPr>
          <w:b w:val="1"/>
          <w:bCs w:val="1"/>
          <w:shd w:fill="f1f5f9" w:val="clear"/>
          <w:rtl w:val="0"/>
        </w:rPr>
        <w:t xml:space="preserve">favorable economic benefit</w:t>
      </w:r>
      <w:r w:rsidDel="00000000" w:rsidR="00000000" w:rsidRPr="00000000">
        <w:rPr>
          <w:shd w:fill="f1f5f9" w:val="clear"/>
          <w:rtl w:val="0"/>
        </w:rPr>
        <w:t xml:space="preserve">—a $10 promotional discount and priority support check-in (</w:t>
      </w:r>
      <w:hyperlink r:id="rId31">
        <w:r w:rsidDel="00000000" w:rsidR="00000000" w:rsidRPr="00000000">
          <w:rPr>
            <w:color w:val="0000ee"/>
            <w:u w:val="single"/>
            <w:shd w:fill="f1f5f9" w:val="clear"/>
            <w:rtl w:val="0"/>
          </w:rPr>
          <w:t xml:space="preserve">Höppner et al., 2020</w:t>
        </w:r>
      </w:hyperlink>
      <w:r w:rsidDel="00000000" w:rsidR="00000000" w:rsidRPr="00000000">
        <w:rPr>
          <w:shd w:fill="f1f5f9" w:val="clear"/>
          <w:rtl w:val="0"/>
        </w:rPr>
        <w:t xml:space="preserve">). Consequently, a False Negative (FN) represents an </w:t>
      </w:r>
      <w:r w:rsidDel="00000000" w:rsidR="00000000" w:rsidRPr="00000000">
        <w:rPr>
          <w:b w:val="1"/>
          <w:bCs w:val="1"/>
          <w:shd w:fill="f1f5f9" w:val="clear"/>
          <w:rtl w:val="0"/>
        </w:rPr>
        <w:t xml:space="preserve">under-protection harm</w:t>
      </w:r>
      <w:r w:rsidDel="00000000" w:rsidR="00000000" w:rsidRPr="00000000">
        <w:rPr>
          <w:shd w:fill="f1f5f9" w:val="clear"/>
          <w:rtl w:val="0"/>
        </w:rPr>
        <w:t xml:space="preserve"> (an at-risk subscriber who receives no retention offer and departs), while Equal Opportunity (</w:t>
      </w:r>
      <w:hyperlink r:id="rId32">
        <w:r w:rsidDel="00000000" w:rsidR="00000000" w:rsidRPr="00000000">
          <w:rPr>
            <w:color w:val="0000ee"/>
            <w:u w:val="single"/>
            <w:shd w:fill="f1f5f9" w:val="clear"/>
            <w:rtl w:val="0"/>
          </w:rPr>
          <w:t xml:space="preserve">Hardt, Price, &amp; Srebro, 2016</w:t>
        </w:r>
      </w:hyperlink>
      <w:r w:rsidDel="00000000" w:rsidR="00000000" w:rsidRPr="00000000">
        <w:rPr>
          <w:shd w:fill="f1f5f9" w:val="clear"/>
          <w:rtl w:val="0"/>
        </w:rPr>
        <w:t xml:space="preserve">) requires that true churning subscribers across all demographic cohorts have an equal probability (TPR) of receiving a retention intervention. All visual diagnostics are coded directly in </w:t>
      </w:r>
      <w:hyperlink r:id="rId33">
        <w:r w:rsidDel="00000000" w:rsidR="00000000" w:rsidRPr="00000000">
          <w:rPr>
            <w:color w:val="0000ee"/>
            <w:u w:val="single"/>
            <w:shd w:fill="f1f5f9" w:val="clear"/>
            <w:rtl w:val="0"/>
          </w:rPr>
          <w:t xml:space="preserve">Step5_Demographic_Fairness_Audit.ipynb</w:t>
        </w:r>
      </w:hyperlink>
      <w:r w:rsidDel="00000000" w:rsidR="00000000" w:rsidRPr="00000000">
        <w:rPr>
          <w:shd w:fill="f1f5f9" w:val="clear"/>
          <w:rtl w:val="0"/>
        </w:rPr>
        <w:t xml:space="preserve"> for execution in Google Colab.</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binary protected attribute </w:t>
      </w:r>
      <w:r w:rsidDel="00000000" w:rsidR="00000000" w:rsidRPr="00000000">
        <w:rPr>
          <w:i w:val="1"/>
          <w:iCs w:val="1"/>
          <w:rtl w:val="0"/>
        </w:rPr>
        <w:t xml:space="preserve">A</w:t>
      </w:r>
      <w:r w:rsidDel="00000000" w:rsidR="00000000" w:rsidRPr="00000000">
        <w:rPr>
          <w:rFonts w:ascii="Arial Unicode MS" w:cs="Arial Unicode MS" w:eastAsia="Arial Unicode MS" w:hAnsi="Arial Unicode MS"/>
          <w:rtl w:val="0"/>
        </w:rPr>
        <w:t xml:space="preserve"> ∈ {0, 1} evaluated on the held-out test set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tl w:val="0"/>
        </w:rPr>
        <w:t xml:space="preserve"> = 1,409), we audit six formal criteria (</w:t>
      </w:r>
      <w:hyperlink r:id="rId34">
        <w:r w:rsidDel="00000000" w:rsidR="00000000" w:rsidRPr="00000000">
          <w:rPr>
            <w:color w:val="0000ee"/>
            <w:u w:val="single"/>
            <w:rtl w:val="0"/>
          </w:rPr>
          <w:t xml:space="preserve">Feldman et al., 2015</w:t>
        </w:r>
      </w:hyperlink>
      <w:r w:rsidDel="00000000" w:rsidR="00000000" w:rsidRPr="00000000">
        <w:rPr>
          <w:rtl w:val="0"/>
        </w:rPr>
        <w:t xml:space="preserve">; </w:t>
      </w:r>
      <w:hyperlink r:id="rId35">
        <w:r w:rsidDel="00000000" w:rsidR="00000000" w:rsidRPr="00000000">
          <w:rPr>
            <w:color w:val="0000ee"/>
            <w:u w:val="single"/>
            <w:rtl w:val="0"/>
          </w:rPr>
          <w:t xml:space="preserve">Hardt et al., 2016</w:t>
        </w:r>
      </w:hyperlink>
      <w:r w:rsidDel="00000000" w:rsidR="00000000" w:rsidRPr="00000000">
        <w:rPr>
          <w:rtl w:val="0"/>
        </w:rPr>
        <w:t xml:space="preserve">; </w:t>
      </w:r>
      <w:hyperlink r:id="rId36">
        <w:r w:rsidDel="00000000" w:rsidR="00000000" w:rsidRPr="00000000">
          <w:rPr>
            <w:color w:val="0000ee"/>
            <w:u w:val="single"/>
            <w:rtl w:val="0"/>
          </w:rPr>
          <w:t xml:space="preserve">Fairlearn Documentation</w:t>
        </w:r>
      </w:hyperlink>
      <w:r w:rsidDel="00000000" w:rsidR="00000000" w:rsidRPr="00000000">
        <w:rPr>
          <w:rtl w:val="0"/>
        </w:rPr>
        <w:t xml:space="preser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Selection Rate (Offer Allocation Rate):</w:t>
      </w:r>
      <w:r w:rsidDel="00000000" w:rsidR="00000000" w:rsidRPr="00000000">
        <w:rPr>
          <w:rtl w:val="0"/>
        </w:rPr>
        <w:t xml:space="preserve"> SR_a(t) = P(Y_hat(t) = 1 | A = a) = (TP_a + FP_a) / n_a</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Disparate Impact Ratio (DIR, EEOC Four-Fifths Rule):</w:t>
      </w:r>
      <w:r w:rsidDel="00000000" w:rsidR="00000000" w:rsidRPr="00000000">
        <w:rPr>
          <w:rFonts w:ascii="Arial Unicode MS" w:cs="Arial Unicode MS" w:eastAsia="Arial Unicode MS" w:hAnsi="Arial Unicode MS"/>
          <w:rtl w:val="0"/>
        </w:rPr>
        <w:t xml:space="preserve"> DIR(t) = min(SR_0, SR_1) / max(SR_0, SR_1) (Regulatory parity benchmark: DIR ≥ 0.80)</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Statistical Parity Difference (SPD):</w:t>
      </w:r>
      <w:r w:rsidDel="00000000" w:rsidR="00000000" w:rsidRPr="00000000">
        <w:rPr>
          <w:rtl w:val="0"/>
        </w:rPr>
        <w:t xml:space="preserve"> SPD(t) = SR_1(t) - SR_0(t)</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Equal Opportunity Difference (EOD / ΔTPR):</w:t>
      </w:r>
      <w:r w:rsidDel="00000000" w:rsidR="00000000" w:rsidRPr="00000000">
        <w:rPr>
          <w:rtl w:val="0"/>
        </w:rPr>
        <w:t xml:space="preserve"> ΔTPR(t) = TPR_1(t) - TPR_0(t) = (TP_1 / P_1) - (TP_0 / P_0)</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Predictive Equality Difference (ΔFPR):</w:t>
      </w:r>
      <w:r w:rsidDel="00000000" w:rsidR="00000000" w:rsidRPr="00000000">
        <w:rPr>
          <w:rtl w:val="0"/>
        </w:rPr>
        <w:t xml:space="preserve"> ΔFPR(t) = FPR_1(t) - FPR_0(t) = (FP_1 / N_0,1) - (FP_0 / N_0,0)</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Odds Difference (AOD) &amp; Predictive Parity (ΔPPV):</w:t>
      </w:r>
      <w:r w:rsidDel="00000000" w:rsidR="00000000" w:rsidRPr="00000000">
        <w:rPr>
          <w:rtl w:val="0"/>
        </w:rPr>
        <w:t xml:space="preserve"> AOD(t) = 0.5 · (|ΔTPR| + |ΔFPR|) and ΔPPV(t) = PPV_1(t) - PPV_0(t)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Empirical Base-Rate Structure on Held-Out Test Set (</w:t>
      </w:r>
      <w:r w:rsidDel="00000000" w:rsidR="00000000" w:rsidRPr="00000000">
        <w:rPr>
          <w:b w:val="1"/>
          <w:bCs w:val="1"/>
          <w:i w:val="1"/>
          <w:iCs w:val="1"/>
          <w:color w:val="0f172a"/>
          <w:sz w:val="24"/>
          <w:szCs w:val="24"/>
          <w:rtl w:val="0"/>
        </w:rPr>
        <w:t xml:space="preserve">n</w:t>
      </w:r>
      <w:r w:rsidDel="00000000" w:rsidR="00000000" w:rsidRPr="00000000">
        <w:rPr>
          <w:b w:val="1"/>
          <w:bCs w:val="1"/>
          <w:i w:val="0"/>
          <w:iCs w:val="0"/>
          <w:color w:val="0f172a"/>
          <w:sz w:val="24"/>
          <w:szCs w:val="24"/>
          <w:vertAlign w:val="subscript"/>
          <w:rtl w:val="0"/>
        </w:rPr>
        <w:t xml:space="preserve">test</w:t>
      </w:r>
      <w:r w:rsidDel="00000000" w:rsidR="00000000" w:rsidRPr="00000000">
        <w:rPr>
          <w:rtl w:val="0"/>
        </w:rPr>
        <w:t xml:space="preserve"> = 1,409)</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Gender Cohorts (gender):</w:t>
      </w:r>
      <w:r w:rsidDel="00000000" w:rsidR="00000000" w:rsidRPr="00000000">
        <w:rPr>
          <w:rtl w:val="0"/>
        </w:rPr>
        <w:t xml:space="preserve"> Female accounts comprise </w:t>
      </w:r>
      <w:r w:rsidDel="00000000" w:rsidR="00000000" w:rsidRPr="00000000">
        <w:rPr>
          <w:i w:val="1"/>
          <w:iCs w:val="1"/>
          <w:rtl w:val="0"/>
        </w:rPr>
        <w:t xml:space="preserve">n</w:t>
      </w:r>
      <w:r w:rsidDel="00000000" w:rsidR="00000000" w:rsidRPr="00000000">
        <w:rPr>
          <w:vertAlign w:val="subscript"/>
          <w:rtl w:val="0"/>
        </w:rPr>
        <w:t xml:space="preserve">F</w:t>
      </w:r>
      <w:r w:rsidDel="00000000" w:rsidR="00000000" w:rsidRPr="00000000">
        <w:rPr>
          <w:rtl w:val="0"/>
        </w:rPr>
        <w:t xml:space="preserve"> = 698 (49.54% of test set; </w:t>
      </w:r>
      <w:r w:rsidDel="00000000" w:rsidR="00000000" w:rsidRPr="00000000">
        <w:rPr>
          <w:i w:val="1"/>
          <w:iCs w:val="1"/>
          <w:rtl w:val="0"/>
        </w:rPr>
        <w:t xml:space="preserve">P</w:t>
      </w:r>
      <w:r w:rsidDel="00000000" w:rsidR="00000000" w:rsidRPr="00000000">
        <w:rPr>
          <w:vertAlign w:val="subscript"/>
          <w:rtl w:val="0"/>
        </w:rPr>
        <w:t xml:space="preserve">F</w:t>
      </w:r>
      <w:r w:rsidDel="00000000" w:rsidR="00000000" w:rsidRPr="00000000">
        <w:rPr>
          <w:rtl w:val="0"/>
        </w:rPr>
        <w:t xml:space="preserve"> = 188 churners, </w:t>
      </w:r>
      <w:r w:rsidDel="00000000" w:rsidR="00000000" w:rsidRPr="00000000">
        <w:rPr>
          <w:i w:val="1"/>
          <w:iCs w:val="1"/>
          <w:rtl w:val="0"/>
        </w:rPr>
        <w:t xml:space="preserve">N</w:t>
      </w:r>
      <w:r w:rsidDel="00000000" w:rsidR="00000000" w:rsidRPr="00000000">
        <w:rPr>
          <w:vertAlign w:val="subscript"/>
          <w:rtl w:val="0"/>
        </w:rPr>
        <w:t xml:space="preserve">0,F</w:t>
      </w:r>
      <w:r w:rsidDel="00000000" w:rsidR="00000000" w:rsidRPr="00000000">
        <w:rPr>
          <w:rtl w:val="0"/>
        </w:rPr>
        <w:t xml:space="preserve"> = 510 retained; base churn rate π_F = 26.93%), and Male accounts comprise </w:t>
      </w:r>
      <w:r w:rsidDel="00000000" w:rsidR="00000000" w:rsidRPr="00000000">
        <w:rPr>
          <w:i w:val="1"/>
          <w:iCs w:val="1"/>
          <w:rtl w:val="0"/>
        </w:rPr>
        <w:t xml:space="preserve">n</w:t>
      </w:r>
      <w:r w:rsidDel="00000000" w:rsidR="00000000" w:rsidRPr="00000000">
        <w:rPr>
          <w:vertAlign w:val="subscript"/>
          <w:rtl w:val="0"/>
        </w:rPr>
        <w:t xml:space="preserve">M</w:t>
      </w:r>
      <w:r w:rsidDel="00000000" w:rsidR="00000000" w:rsidRPr="00000000">
        <w:rPr>
          <w:rtl w:val="0"/>
        </w:rPr>
        <w:t xml:space="preserve"> = 711 (50.46% of test set; </w:t>
      </w:r>
      <w:r w:rsidDel="00000000" w:rsidR="00000000" w:rsidRPr="00000000">
        <w:rPr>
          <w:i w:val="1"/>
          <w:iCs w:val="1"/>
          <w:rtl w:val="0"/>
        </w:rPr>
        <w:t xml:space="preserve">P</w:t>
      </w:r>
      <w:r w:rsidDel="00000000" w:rsidR="00000000" w:rsidRPr="00000000">
        <w:rPr>
          <w:vertAlign w:val="subscript"/>
          <w:rtl w:val="0"/>
        </w:rPr>
        <w:t xml:space="preserve">M</w:t>
      </w:r>
      <w:r w:rsidDel="00000000" w:rsidR="00000000" w:rsidRPr="00000000">
        <w:rPr>
          <w:rtl w:val="0"/>
        </w:rPr>
        <w:t xml:space="preserve"> = 186 churners, </w:t>
      </w:r>
      <w:r w:rsidDel="00000000" w:rsidR="00000000" w:rsidRPr="00000000">
        <w:rPr>
          <w:i w:val="1"/>
          <w:iCs w:val="1"/>
          <w:rtl w:val="0"/>
        </w:rPr>
        <w:t xml:space="preserve">N</w:t>
      </w:r>
      <w:r w:rsidDel="00000000" w:rsidR="00000000" w:rsidRPr="00000000">
        <w:rPr>
          <w:vertAlign w:val="subscript"/>
          <w:rtl w:val="0"/>
        </w:rPr>
        <w:t xml:space="preserve">0,M</w:t>
      </w:r>
      <w:r w:rsidDel="00000000" w:rsidR="00000000" w:rsidRPr="00000000">
        <w:rPr>
          <w:rFonts w:ascii="Arial Unicode MS" w:cs="Arial Unicode MS" w:eastAsia="Arial Unicode MS" w:hAnsi="Arial Unicode MS"/>
          <w:rtl w:val="0"/>
        </w:rPr>
        <w:t xml:space="preserve"> = 525 retained; base churn rate π_M = 26.16%). Because π_F ≈ π_M, no base-rate impossibility conflict arises.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 Cohorts (SeniorCitizen):</w:t>
      </w:r>
      <w:r w:rsidDel="00000000" w:rsidR="00000000" w:rsidRPr="00000000">
        <w:rPr>
          <w:rtl w:val="0"/>
        </w:rPr>
        <w:t xml:space="preserve"> Senior Citizens (A = 1) comprise </w:t>
      </w:r>
      <w:r w:rsidDel="00000000" w:rsidR="00000000" w:rsidRPr="00000000">
        <w:rPr>
          <w:i w:val="1"/>
          <w:iCs w:val="1"/>
          <w:rtl w:val="0"/>
        </w:rPr>
        <w:t xml:space="preserve">n</w:t>
      </w:r>
      <w:r w:rsidDel="00000000" w:rsidR="00000000" w:rsidRPr="00000000">
        <w:rPr>
          <w:vertAlign w:val="subscript"/>
          <w:rtl w:val="0"/>
        </w:rPr>
        <w:t xml:space="preserve">sen</w:t>
      </w:r>
      <w:r w:rsidDel="00000000" w:rsidR="00000000" w:rsidRPr="00000000">
        <w:rPr>
          <w:rtl w:val="0"/>
        </w:rPr>
        <w:t xml:space="preserve"> = 228 (16.18% of test set; </w:t>
      </w:r>
      <w:r w:rsidDel="00000000" w:rsidR="00000000" w:rsidRPr="00000000">
        <w:rPr>
          <w:i w:val="1"/>
          <w:iCs w:val="1"/>
          <w:rtl w:val="0"/>
        </w:rPr>
        <w:t xml:space="preserve">P</w:t>
      </w:r>
      <w:r w:rsidDel="00000000" w:rsidR="00000000" w:rsidRPr="00000000">
        <w:rPr>
          <w:vertAlign w:val="subscript"/>
          <w:rtl w:val="0"/>
        </w:rPr>
        <w:t xml:space="preserve">sen</w:t>
      </w:r>
      <w:r w:rsidDel="00000000" w:rsidR="00000000" w:rsidRPr="00000000">
        <w:rPr>
          <w:rtl w:val="0"/>
        </w:rPr>
        <w:t xml:space="preserve"> = 95 churners, </w:t>
      </w:r>
      <w:r w:rsidDel="00000000" w:rsidR="00000000" w:rsidRPr="00000000">
        <w:rPr>
          <w:i w:val="1"/>
          <w:iCs w:val="1"/>
          <w:rtl w:val="0"/>
        </w:rPr>
        <w:t xml:space="preserve">N</w:t>
      </w:r>
      <w:r w:rsidDel="00000000" w:rsidR="00000000" w:rsidRPr="00000000">
        <w:rPr>
          <w:vertAlign w:val="subscript"/>
          <w:rtl w:val="0"/>
        </w:rPr>
        <w:t xml:space="preserve">0,sen</w:t>
      </w:r>
      <w:r w:rsidDel="00000000" w:rsidR="00000000" w:rsidRPr="00000000">
        <w:rPr>
          <w:rtl w:val="0"/>
        </w:rPr>
        <w:t xml:space="preserve"> = 133 retained; base churn rate π_sen = 41.67%), whereas Non-Seniors (A = 0) comprise </w:t>
      </w:r>
      <w:r w:rsidDel="00000000" w:rsidR="00000000" w:rsidRPr="00000000">
        <w:rPr>
          <w:i w:val="1"/>
          <w:iCs w:val="1"/>
          <w:rtl w:val="0"/>
        </w:rPr>
        <w:t xml:space="preserve">n</w:t>
      </w:r>
      <w:r w:rsidDel="00000000" w:rsidR="00000000" w:rsidRPr="00000000">
        <w:rPr>
          <w:vertAlign w:val="subscript"/>
          <w:rtl w:val="0"/>
        </w:rPr>
        <w:t xml:space="preserve">nonsen</w:t>
      </w:r>
      <w:r w:rsidDel="00000000" w:rsidR="00000000" w:rsidRPr="00000000">
        <w:rPr>
          <w:rtl w:val="0"/>
        </w:rPr>
        <w:t xml:space="preserve"> = 1,181 (83.82% of test set; </w:t>
      </w:r>
      <w:r w:rsidDel="00000000" w:rsidR="00000000" w:rsidRPr="00000000">
        <w:rPr>
          <w:i w:val="1"/>
          <w:iCs w:val="1"/>
          <w:rtl w:val="0"/>
        </w:rPr>
        <w:t xml:space="preserve">P</w:t>
      </w:r>
      <w:r w:rsidDel="00000000" w:rsidR="00000000" w:rsidRPr="00000000">
        <w:rPr>
          <w:vertAlign w:val="subscript"/>
          <w:rtl w:val="0"/>
        </w:rPr>
        <w:t xml:space="preserve">nonsen</w:t>
      </w:r>
      <w:r w:rsidDel="00000000" w:rsidR="00000000" w:rsidRPr="00000000">
        <w:rPr>
          <w:rtl w:val="0"/>
        </w:rPr>
        <w:t xml:space="preserve"> = 279 churners, </w:t>
      </w:r>
      <w:r w:rsidDel="00000000" w:rsidR="00000000" w:rsidRPr="00000000">
        <w:rPr>
          <w:i w:val="1"/>
          <w:iCs w:val="1"/>
          <w:rtl w:val="0"/>
        </w:rPr>
        <w:t xml:space="preserve">N</w:t>
      </w:r>
      <w:r w:rsidDel="00000000" w:rsidR="00000000" w:rsidRPr="00000000">
        <w:rPr>
          <w:vertAlign w:val="subscript"/>
          <w:rtl w:val="0"/>
        </w:rPr>
        <w:t xml:space="preserve">0,nonsen</w:t>
      </w:r>
      <w:r w:rsidDel="00000000" w:rsidR="00000000" w:rsidRPr="00000000">
        <w:rPr>
          <w:rtl w:val="0"/>
        </w:rPr>
        <w:t xml:space="preserve"> = 902 retained; base churn rate π_nonsen = 23.62%). Because Seniors exhibit a </w:t>
      </w:r>
      <w:r w:rsidDel="00000000" w:rsidR="00000000" w:rsidRPr="00000000">
        <w:rPr>
          <w:b w:val="1"/>
          <w:bCs w:val="1"/>
          <w:rtl w:val="0"/>
        </w:rPr>
        <w:t xml:space="preserve">1.765× higher empirical base churn rate</w:t>
      </w:r>
      <w:r w:rsidDel="00000000" w:rsidR="00000000" w:rsidRPr="00000000">
        <w:rPr>
          <w:rtl w:val="0"/>
        </w:rPr>
        <w:t xml:space="preserve"> than Non-Seniors, </w:t>
      </w:r>
      <w:hyperlink r:id="rId37">
        <w:r w:rsidDel="00000000" w:rsidR="00000000" w:rsidRPr="00000000">
          <w:rPr>
            <w:color w:val="0000ee"/>
            <w:u w:val="single"/>
            <w:rtl w:val="0"/>
          </w:rPr>
          <w:t xml:space="preserve">Chouldechova's (2017) Theorem 1</w:t>
        </w:r>
      </w:hyperlink>
      <w:r w:rsidDel="00000000" w:rsidR="00000000" w:rsidRPr="00000000">
        <w:rPr>
          <w:rtl w:val="0"/>
        </w:rPr>
        <w:t xml:space="preserve"> guarantees that any well-calibrated classifier (PPV_sen = PPV_nonsen) evaluated at a single threshold </w:t>
      </w:r>
      <w:r w:rsidDel="00000000" w:rsidR="00000000" w:rsidRPr="00000000">
        <w:rPr>
          <w:i w:val="1"/>
          <w:iCs w:val="1"/>
          <w:rtl w:val="0"/>
        </w:rPr>
        <w:t xml:space="preserve">t</w:t>
      </w:r>
      <w:r w:rsidDel="00000000" w:rsidR="00000000" w:rsidRPr="00000000">
        <w:rPr>
          <w:rtl w:val="0"/>
        </w:rPr>
        <w:t xml:space="preserve"> must exhibit different Selection Rates, True Positive Rates, and False Positive Rates across age groups: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FPR_a = [π_a / (1 - π_a)] · [(1 - PPV_a) / PPV_a] · TPR_a.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Comprehensive Subgroup Fairness Audit Across Operating Regimes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complete 14-row audit table is stored in </w:t>
      </w:r>
      <w:hyperlink r:id="rId38">
        <w:r w:rsidDel="00000000" w:rsidR="00000000" w:rsidRPr="00000000">
          <w:rPr>
            <w:color w:val="0000ee"/>
            <w:u w:val="single"/>
            <w:rtl w:val="0"/>
          </w:rPr>
          <w:t xml:space="preserve">Step5_Demographic_Fairness_Audit_Table</w:t>
        </w:r>
      </w:hyperlink>
      <w:r w:rsidDel="00000000" w:rsidR="00000000" w:rsidRPr="00000000">
        <w:rPr>
          <w:rtl w:val="0"/>
        </w:rPr>
        <w:t xml:space="preserve"> and summarized below:</w:t>
      </w:r>
    </w:p>
    <w:tbl>
      <w:tblPr>
        <w:tblStyle w:val="Table1"/>
        <w:tblW w:w="9360.000000000002"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Operating Regime</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Subgroup (</w:t>
            </w:r>
            <w:r w:rsidDel="00000000" w:rsidR="00000000" w:rsidRPr="00000000">
              <w:rPr>
                <w:i w:val="1"/>
                <w:iCs w:val="1"/>
                <w:color w:val="ffffff"/>
                <w:sz w:val="18"/>
                <w:szCs w:val="18"/>
                <w:shd w:fill="auto" w:val="clear"/>
                <w:rtl w:val="0"/>
              </w:rPr>
              <w:t xml:space="preserve">n</w:t>
            </w:r>
            <w:r w:rsidDel="00000000" w:rsidR="00000000" w:rsidRPr="00000000">
              <w:rPr>
                <w:color w:val="ffffff"/>
                <w:sz w:val="18"/>
                <w:szCs w:val="18"/>
                <w:shd w:fill="auto" w:val="clear"/>
                <w:vertAlign w:val="subscript"/>
                <w:rtl w:val="0"/>
              </w:rPr>
              <w:t xml:space="preserve">test</w:t>
            </w:r>
            <w:r w:rsidDel="00000000" w:rsidR="00000000" w:rsidRPr="00000000">
              <w:rPr>
                <w:color w:val="ffffff"/>
                <w:sz w:val="18"/>
                <w:szCs w:val="18"/>
                <w:shd w:fill="auto" w:val="clear"/>
                <w:rtl w:val="0"/>
              </w:rPr>
              <w:t xml:space="preserve"> = 1,409)</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Cutoff (</w:t>
            </w:r>
            <w:r w:rsidDel="00000000" w:rsidR="00000000" w:rsidRPr="00000000">
              <w:rPr>
                <w:i w:val="1"/>
                <w:iCs w:val="1"/>
                <w:color w:val="ffffff"/>
                <w:sz w:val="18"/>
                <w:szCs w:val="18"/>
                <w:shd w:fill="auto" w:val="clear"/>
                <w:rtl w:val="0"/>
              </w:rPr>
              <w:t xml:space="preserve">t</w:t>
            </w:r>
            <w:r w:rsidDel="00000000" w:rsidR="00000000" w:rsidRPr="00000000">
              <w:rPr>
                <w:color w:val="ffffff"/>
                <w:sz w:val="18"/>
                <w:szCs w:val="18"/>
                <w:shd w:fill="auto" w:val="clear"/>
                <w:rtl w:val="0"/>
              </w:rPr>
              <w:t xml:space="preserve">)</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Empirical Confusion Matrix</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Selection Rate (SR)</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TPR (Recall)</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FPR</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PPV (Precision)</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DIR (Min/Max) &amp; SPD</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EOD (ΔTPR) &amp; AOD</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Simulated Payoff (Assumed MPC)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R1: Standard Cost-Blind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gender: Female (698)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gender: Male (711)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0.5000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0.5000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TP=104, FP=51, TN=459, FN=84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TP=101, FP=51, TN=474, FN=85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22.21%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21.38%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55.32%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54.30%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10.00%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9.71%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67.10%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66.45%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DIR = 0.9626</w:t>
            </w:r>
            <w:r w:rsidDel="00000000" w:rsidR="00000000" w:rsidRPr="00000000">
              <w:rPr>
                <w:sz w:val="18"/>
                <w:szCs w:val="18"/>
                <w:vertAlign w:val="baseline"/>
                <w:rtl w:val="0"/>
              </w:rPr>
              <w:t xml:space="preserve"> (PASS)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SPD = -0.83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EOD = -1.02 pp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AOD = 0.65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5,263(</m:t>
              </m:r>
            </m:oMath>
            <w:r w:rsidDel="00000000" w:rsidR="00000000" w:rsidRPr="00000000">
              <w:rPr>
                <w:sz w:val="18"/>
                <w:szCs w:val="18"/>
                <w:vertAlign w:val="baseline"/>
                <w:rtl w:val="0"/>
              </w:rPr>
              <w:t xml:space="preserve">7.54/c)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5,095(</m:t>
              </m:r>
            </m:oMath>
            <w:r w:rsidDel="00000000" w:rsidR="00000000" w:rsidRPr="00000000">
              <w:rPr>
                <w:sz w:val="18"/>
                <w:szCs w:val="18"/>
                <w:vertAlign w:val="baseline"/>
                <w:rtl w:val="0"/>
              </w:rPr>
              <w:t xml:space="preserve">7.17/c)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Total: $10,358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R2: EMPC-Optimal Global</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gender: Female (698)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gender: Male (711)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0.1642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0.1642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TP=167, FP=170, TN=340, FN=21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TP=165, FP=171, TN=354, FN=21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48.28%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47.26%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88.83%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88.71%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33.33%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32.57%</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49.55%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49.11%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DIR = 0.9788</w:t>
            </w:r>
            <w:r w:rsidDel="00000000" w:rsidR="00000000" w:rsidRPr="00000000">
              <w:rPr>
                <w:sz w:val="18"/>
                <w:szCs w:val="18"/>
                <w:vertAlign w:val="baseline"/>
                <w:rtl w:val="0"/>
              </w:rPr>
              <w:t xml:space="preserve"> (PASS)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SPD = -1.02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EOD = -0.12 pp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AOD = 0.44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7,482(</m:t>
              </m:r>
            </m:oMath>
            <w:r w:rsidDel="00000000" w:rsidR="00000000" w:rsidRPr="00000000">
              <w:rPr>
                <w:sz w:val="18"/>
                <w:szCs w:val="18"/>
                <w:vertAlign w:val="baseline"/>
                <w:rtl w:val="0"/>
              </w:rPr>
              <w:t xml:space="preserve">10.72/c)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7,359(</m:t>
              </m:r>
            </m:oMath>
            <w:r w:rsidDel="00000000" w:rsidR="00000000" w:rsidRPr="00000000">
              <w:rPr>
                <w:sz w:val="18"/>
                <w:szCs w:val="18"/>
                <w:vertAlign w:val="baseline"/>
                <w:rtl w:val="0"/>
              </w:rPr>
              <w:t xml:space="preserve">10.35/c)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Total: $14,841</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R1: Standard Cost-Blind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Senior: Yes (228)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 No (1,181)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0.5000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0.5000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TP=68, FP=34, TN=99, FN=27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TP=137, FP=68, TN=834, FN=142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44.74%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17.36%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71.58%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49.10%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25.56%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7.54%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66.67%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66.83%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DIR = 0.3880</w:t>
            </w:r>
            <w:r w:rsidDel="00000000" w:rsidR="00000000" w:rsidRPr="00000000">
              <w:rPr>
                <w:sz w:val="18"/>
                <w:szCs w:val="18"/>
                <w:vertAlign w:val="baseline"/>
                <w:rtl w:val="0"/>
              </w:rPr>
              <w:t xml:space="preserve"> (FAIL)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SPD = +27.38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EOD = +22.48 pp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AOD = 20.25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3,434(</m:t>
              </m:r>
            </m:oMath>
            <w:r w:rsidDel="00000000" w:rsidR="00000000" w:rsidRPr="00000000">
              <w:rPr>
                <w:sz w:val="18"/>
                <w:szCs w:val="18"/>
                <w:vertAlign w:val="baseline"/>
                <w:rtl w:val="0"/>
              </w:rPr>
              <w:t xml:space="preserve">15.06/c)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6,924(</m:t>
              </m:r>
            </m:oMath>
            <w:r w:rsidDel="00000000" w:rsidR="00000000" w:rsidRPr="00000000">
              <w:rPr>
                <w:sz w:val="18"/>
                <w:szCs w:val="18"/>
                <w:vertAlign w:val="baseline"/>
                <w:rtl w:val="0"/>
              </w:rPr>
              <w:t xml:space="preserve">5.86/c)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Total: $10,358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R2: EMPC-Optimal Global</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Senior: Yes (228)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 No (1,181)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0.1642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0.1642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TP=89, FP=76, TN=57, FN=6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TP=243, FP=265, TN=637, FN=36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72.37%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43.01%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93.68%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87.10%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57.14%</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29.38%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53.94%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47.83%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DIR = 0.5944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SPD = +29.35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EOD = +6.59 pp</w:t>
            </w:r>
            <w:r w:rsidDel="00000000" w:rsidR="00000000" w:rsidRPr="00000000">
              <w:rPr>
                <w:sz w:val="18"/>
                <w:szCs w:val="18"/>
                <w:vertAlign w:val="baseline"/>
                <w:rtl w:val="0"/>
              </w:rPr>
              <w:t xml:space="preserve"> (-70.7% gap)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AOD = 17.17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4,148(</m:t>
              </m:r>
            </m:oMath>
            <w:r w:rsidDel="00000000" w:rsidR="00000000" w:rsidRPr="00000000">
              <w:rPr>
                <w:sz w:val="18"/>
                <w:szCs w:val="18"/>
                <w:vertAlign w:val="baseline"/>
                <w:rtl w:val="0"/>
              </w:rPr>
              <w:t xml:space="preserve">18.19/c)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10,693(</m:t>
              </m:r>
            </m:oMath>
            <w:r w:rsidDel="00000000" w:rsidR="00000000" w:rsidRPr="00000000">
              <w:rPr>
                <w:sz w:val="18"/>
                <w:szCs w:val="18"/>
                <w:vertAlign w:val="baseline"/>
                <w:rtl w:val="0"/>
              </w:rPr>
              <w:t xml:space="preserve">9.05/c)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Total: $14,841</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R3: Unawareness (Drop Protected)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Senior: Yes (228)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 No (1,181)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0.1642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0.1642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TP=87, FP=72, TN=61, FN=8</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TP=244, FP=267, TN=635, FN=35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69.74%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43.27%</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91.58%</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87.46%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54.14%</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29.60%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54.72%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47.75%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DIR = 0.6205</w:t>
            </w:r>
            <w:r w:rsidDel="00000000" w:rsidR="00000000" w:rsidRPr="00000000">
              <w:rPr>
                <w:sz w:val="18"/>
                <w:szCs w:val="18"/>
                <w:vertAlign w:val="baseline"/>
                <w:rtl w:val="0"/>
              </w:rPr>
              <w:t xml:space="preserve"> (Still &lt; 0.80)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SPD = +26.47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EOD = +4.12 pp</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AOD = 14.12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4,080(</m:t>
              </m:r>
            </m:oMath>
            <w:r w:rsidDel="00000000" w:rsidR="00000000" w:rsidRPr="00000000">
              <w:rPr>
                <w:sz w:val="18"/>
                <w:szCs w:val="18"/>
                <w:vertAlign w:val="baseline"/>
                <w:rtl w:val="0"/>
              </w:rPr>
              <w:t xml:space="preserve">17.89/c)</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10,725(</m:t>
              </m:r>
            </m:oMath>
            <w:r w:rsidDel="00000000" w:rsidR="00000000" w:rsidRPr="00000000">
              <w:rPr>
                <w:sz w:val="18"/>
                <w:szCs w:val="18"/>
                <w:vertAlign w:val="baseline"/>
                <w:rtl w:val="0"/>
              </w:rPr>
              <w:t xml:space="preserve">9.08/c)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Total: $14,805</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R4A: Post-Hoc Equal Opportunity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w:t>
            </w:r>
            <w:hyperlink r:id="rId39">
              <w:r w:rsidDel="00000000" w:rsidR="00000000" w:rsidRPr="00000000">
                <w:rPr>
                  <w:color w:val="0000ee"/>
                  <w:sz w:val="18"/>
                  <w:szCs w:val="18"/>
                  <w:u w:val="single"/>
                  <w:vertAlign w:val="baseline"/>
                  <w:rtl w:val="0"/>
                </w:rPr>
                <w:t xml:space="preserve">Hardt et al., 2016</w:t>
              </w:r>
            </w:hyperlink>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Senior: Yes (228)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 No (1,181)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0.2180</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0.1560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TP=84, FP=59, TN=74, FN=11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TP=247, FP=279, TN=623, FN=32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62.72%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44.54%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88.42%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88.53%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44.36%</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30.93%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58.74%</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46.96%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DIR = 0.7101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SPD = +18.18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EOD = -0.11 pp (PASS)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AOD = 6.77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4,055(</m:t>
              </m:r>
            </m:oMath>
            <w:r w:rsidDel="00000000" w:rsidR="00000000" w:rsidRPr="00000000">
              <w:rPr>
                <w:sz w:val="18"/>
                <w:szCs w:val="18"/>
                <w:vertAlign w:val="baseline"/>
                <w:rtl w:val="0"/>
              </w:rPr>
              <w:t xml:space="preserve">17.79/c)</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10,763(</m:t>
              </m:r>
            </m:oMath>
            <w:r w:rsidDel="00000000" w:rsidR="00000000" w:rsidRPr="00000000">
              <w:rPr>
                <w:sz w:val="18"/>
                <w:szCs w:val="18"/>
                <w:vertAlign w:val="baseline"/>
                <w:rtl w:val="0"/>
              </w:rPr>
              <w:t xml:space="preserve">9.11/c)</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Total: </w:t>
            </w:r>
            <m:oMath>
              <m:r>
                <w:rPr>
                  <w:b w:val="1"/>
                  <w:bCs w:val="1"/>
                  <w:sz w:val="18"/>
                  <w:szCs w:val="18"/>
                  <w:vertAlign w:val="baseline"/>
                </w:rPr>
                <m:t xml:space="preserve">14,818(-</m:t>
              </m:r>
            </m:oMath>
            <w:r w:rsidDel="00000000" w:rsidR="00000000" w:rsidRPr="00000000">
              <w:rPr>
                <w:b w:val="1"/>
                <w:bCs w:val="1"/>
                <w:sz w:val="18"/>
                <w:szCs w:val="18"/>
                <w:vertAlign w:val="baseline"/>
                <w:rtl w:val="0"/>
              </w:rPr>
              <w:t xml:space="preserve">23)</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R4B: Post-Hoc 80% Rule Parity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w:t>
            </w:r>
            <w:hyperlink r:id="rId40">
              <w:r w:rsidDel="00000000" w:rsidR="00000000" w:rsidRPr="00000000">
                <w:rPr>
                  <w:color w:val="0000ee"/>
                  <w:sz w:val="18"/>
                  <w:szCs w:val="18"/>
                  <w:u w:val="single"/>
                  <w:vertAlign w:val="baseline"/>
                  <w:rtl w:val="0"/>
                </w:rPr>
                <w:t xml:space="preserve">Feldman et al., 2015</w:t>
              </w:r>
            </w:hyperlink>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Senior: Yes (228)</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 No (1,181)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0.2650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0.1480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TP=78, FP=49, TN=84, FN=17</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TP=250, FP=296, TN=606, FN=29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55.70%</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46.23%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82.11%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89.61%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36.84%</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32.82%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61.42%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45.79%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DIR = 0.8300 (PASS)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SPD = +9.47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EOD = -7.50 pp</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AOD = 5.76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3,829(</m:t>
              </m:r>
            </m:oMath>
            <w:r w:rsidDel="00000000" w:rsidR="00000000" w:rsidRPr="00000000">
              <w:rPr>
                <w:sz w:val="18"/>
                <w:szCs w:val="18"/>
                <w:vertAlign w:val="baseline"/>
                <w:rtl w:val="0"/>
              </w:rPr>
              <w:t xml:space="preserve">16.79/c)</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sz w:val="18"/>
                <w:szCs w:val="18"/>
                <w:vertAlign w:val="baseline"/>
              </w:rPr>
            </w:pPr>
            <m:oMath>
              <m:r>
                <w:rPr>
                  <w:sz w:val="18"/>
                  <w:szCs w:val="18"/>
                  <w:vertAlign w:val="baseline"/>
                </w:rPr>
                <m:t xml:space="preserve">10,744(</m:t>
              </m:r>
            </m:oMath>
            <w:r w:rsidDel="00000000" w:rsidR="00000000" w:rsidRPr="00000000">
              <w:rPr>
                <w:sz w:val="18"/>
                <w:szCs w:val="18"/>
                <w:vertAlign w:val="baseline"/>
                <w:rtl w:val="0"/>
              </w:rPr>
              <w:t xml:space="preserve">9.10/c)</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Total: </w:t>
            </w:r>
            <m:oMath>
              <m:r>
                <w:rPr>
                  <w:sz w:val="18"/>
                  <w:szCs w:val="18"/>
                  <w:vertAlign w:val="baseline"/>
                </w:rPr>
                <m:t xml:space="preserve">14,573(-</m:t>
              </m:r>
            </m:oMath>
            <w:r w:rsidDel="00000000" w:rsidR="00000000" w:rsidRPr="00000000">
              <w:rPr>
                <w:sz w:val="18"/>
                <w:szCs w:val="18"/>
                <w:vertAlign w:val="baseline"/>
                <w:rtl w:val="0"/>
              </w:rPr>
              <w:t xml:space="preserve">268)</w:t>
            </w:r>
          </w:p>
        </w:tc>
      </w:tr>
    </w:tbl>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Technical Challenges Faced &amp; Methodological Resolutions in Step 5</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C5.1 (Resolving Chouldechova's Base-Rate Impossibility in Retention Targeting):</w:t>
      </w:r>
      <w:r w:rsidDel="00000000" w:rsidR="00000000" w:rsidRPr="00000000">
        <w:rPr>
          <w:rtl w:val="0"/>
        </w:rPr>
        <w:t xml:space="preserve"> At the standard cost-blind cutoff (t = 0.5000), CatBoost exhibits nearly identical precision across age groups (PPV_sen = 66.67% vs. PPV_nonsen = 66.83%), proving that the classifier is well-calibrated and unbiased in its probability estimates. Yet because Senior Citizens churn at 41.67% vs. 23.62% for Non-Seniors, t = 0.5000 leaves 50.90% of churning Non-Seniors (142 of 279) without a retention offer (TPR_nonsen = 49.10% vs. TPR_sen = 71.58%, an Equal Opportunity gap of +22.48 pp). Shifting to the Step 4 EMPC-optimal cutoff (t_opt = 0.1642) automatically reduces this Equal Opportunity gap by </w:t>
      </w:r>
      <w:r w:rsidDel="00000000" w:rsidR="00000000" w:rsidRPr="00000000">
        <w:rPr>
          <w:b w:val="1"/>
          <w:bCs w:val="1"/>
          <w:rtl w:val="0"/>
        </w:rPr>
        <w:t xml:space="preserve">70.7%</w:t>
      </w:r>
      <w:r w:rsidDel="00000000" w:rsidR="00000000" w:rsidRPr="00000000">
        <w:rPr>
          <w:rtl w:val="0"/>
        </w:rPr>
        <w:t xml:space="preserve"> (down to +6.59 pp: 93.68% vs. 87.10%) while lifting simulated profit by +43.3%.</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C5.2 (Empirical Refutation of "Fairness Through Unawareness"):</w:t>
      </w:r>
      <w:r w:rsidDel="00000000" w:rsidR="00000000" w:rsidRPr="00000000">
        <w:rPr>
          <w:rtl w:val="0"/>
        </w:rPr>
        <w:t xml:space="preserve"> Dropping SeniorCitizen and gender from the training matrix (Regime R3) fails to achieve four-fifths demographic parity (DIR = 0.6205 &lt; 0.80) because tree ensembles reconstruct age-cohort risk via correlated behavioral proxies (Unprotected_Fiber_Flag, Digital_Friction_Index, and MonthlyCharges), while slightly degrading overall profit ($14,805 vs. $14,841).</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C5.3 (Quantifying the Fairness–Profit Pareto Frontier Between Equal Opportunity and Demographic Parity):</w:t>
      </w:r>
      <w:r w:rsidDel="00000000" w:rsidR="00000000" w:rsidRPr="00000000">
        <w:rPr>
          <w:rtl w:val="0"/>
        </w:rPr>
        <w:t xml:space="preserve"> Using post-processing group-specific thresholds (</w:t>
      </w:r>
      <w:hyperlink r:id="rId41">
        <w:r w:rsidDel="00000000" w:rsidR="00000000" w:rsidRPr="00000000">
          <w:rPr>
            <w:color w:val="0000ee"/>
            <w:u w:val="single"/>
            <w:rtl w:val="0"/>
          </w:rPr>
          <w:t xml:space="preserve">Hardt et al., 2016</w:t>
        </w:r>
      </w:hyperlink>
      <w:r w:rsidDel="00000000" w:rsidR="00000000" w:rsidRPr="00000000">
        <w:rPr>
          <w:rtl w:val="0"/>
        </w:rPr>
        <w:t xml:space="preserve">), we proved that achieving exact </w:t>
      </w:r>
      <w:r w:rsidDel="00000000" w:rsidR="00000000" w:rsidRPr="00000000">
        <w:rPr>
          <w:b w:val="1"/>
          <w:bCs w:val="1"/>
          <w:rtl w:val="0"/>
        </w:rPr>
        <w:t xml:space="preserve">Equal Opportunity</w:t>
      </w:r>
      <w:r w:rsidDel="00000000" w:rsidR="00000000" w:rsidRPr="00000000">
        <w:rPr>
          <w:rFonts w:ascii="Arial Unicode MS" w:cs="Arial Unicode MS" w:eastAsia="Arial Unicode MS" w:hAnsi="Arial Unicode MS"/>
          <w:rtl w:val="0"/>
        </w:rPr>
        <w:t xml:space="preserve"> (t_sen = 0.2180, t_nonsen = 0.1560 ⇒ TPR_sen = 88.42%, TPR_nonsen = 88.53%, EOD = -0.11 pp) costs only </w:t>
      </w:r>
      <w:r w:rsidDel="00000000" w:rsidR="00000000" w:rsidRPr="00000000">
        <w:rPr>
          <w:b w:val="1"/>
          <w:bCs w:val="1"/>
          <w:rtl w:val="0"/>
        </w:rPr>
        <w:t xml:space="preserve">$23 in simulated profit (0.15%)</w:t>
      </w:r>
      <w:r w:rsidDel="00000000" w:rsidR="00000000" w:rsidRPr="00000000">
        <w:rPr>
          <w:rtl w:val="0"/>
        </w:rPr>
        <w:t xml:space="preserve"> across the entire 1,409-customer test set ($14,818 vs. $14,841). Conversely, forcing strict </w:t>
      </w:r>
      <w:r w:rsidDel="00000000" w:rsidR="00000000" w:rsidRPr="00000000">
        <w:rPr>
          <w:b w:val="1"/>
          <w:bCs w:val="1"/>
          <w:rtl w:val="0"/>
        </w:rPr>
        <w:t xml:space="preserve">80% Demographic Parity</w:t>
      </w:r>
      <w:r w:rsidDel="00000000" w:rsidR="00000000" w:rsidRPr="00000000">
        <w:rPr>
          <w:rtl w:val="0"/>
        </w:rPr>
        <w:t xml:space="preserve"> (DIR = 0.8300 via t_sen = 0.2650, t_nonsen = 0.1480) reduces simulated profit by $268 (1.81%) and induces a reverse Equal Opportunity harm (EOD = -7.50 pp) by withholding retention offers from 11 true-churning Senior Citizens. Thus, </w:t>
      </w:r>
      <w:r w:rsidDel="00000000" w:rsidR="00000000" w:rsidRPr="00000000">
        <w:rPr>
          <w:b w:val="1"/>
          <w:bCs w:val="1"/>
          <w:rtl w:val="0"/>
        </w:rPr>
        <w:t xml:space="preserve">Equal Opportunity (R4A)</w:t>
      </w:r>
      <w:r w:rsidDel="00000000" w:rsidR="00000000" w:rsidRPr="00000000">
        <w:rPr>
          <w:rtl w:val="0"/>
        </w:rPr>
        <w:t xml:space="preserve"> or </w:t>
      </w:r>
      <w:r w:rsidDel="00000000" w:rsidR="00000000" w:rsidRPr="00000000">
        <w:rPr>
          <w:b w:val="1"/>
          <w:bCs w:val="1"/>
          <w:rtl w:val="0"/>
        </w:rPr>
        <w:t xml:space="preserve">Global EMPC (R2)</w:t>
      </w:r>
      <w:r w:rsidDel="00000000" w:rsidR="00000000" w:rsidRPr="00000000">
        <w:rPr>
          <w:rtl w:val="0"/>
        </w:rPr>
        <w:t xml:space="preserve"> is scientifically superior to blunt selection-rate parity in customer retention.</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Next Planned Phase (Awaiting User Review)</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Upon approval of Step 5, we will proceed to the final stage, </w:t>
      </w:r>
      <w:r w:rsidDel="00000000" w:rsidR="00000000" w:rsidRPr="00000000">
        <w:rPr>
          <w:b w:val="1"/>
          <w:bCs w:val="1"/>
          <w:rtl w:val="0"/>
        </w:rPr>
        <w:t xml:space="preserve">Step 6: Post-Hoc Explainable AI (SHAP Global Feature Importance, Interaction Dependence, and Individual Customer Waterfall/Force Attributions) &amp; Final Executive Synthesis</w:t>
      </w:r>
      <w:r w:rsidDel="00000000" w:rsidR="00000000" w:rsidRPr="00000000">
        <w:rPr>
          <w:rtl w:val="0"/>
        </w:rPr>
        <w:t xml:space="preserve">, with all SHAP visualization code embedded directly inside the Step 6 Colab notebook.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before="240" w:lineRule="auto"/>
    </w:pPr>
    <w:rPr>
      <w:b w:val="1"/>
      <w:bCs w:val="1"/>
      <w:i w:val="0"/>
      <w:iCs w:val="0"/>
      <w:color w:val="111827"/>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20" w:lineRule="auto"/>
    </w:pPr>
    <w:rPr>
      <w:b w:val="1"/>
      <w:bCs w:val="1"/>
      <w:i w:val="0"/>
      <w:iCs w:val="0"/>
      <w:color w:val="1e3a8a"/>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0f172a"/>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1412.3756" TargetMode="External"/><Relationship Id="rId20" Type="http://schemas.openxmlformats.org/officeDocument/2006/relationships/hyperlink" Target="https://docs.google.com/spreadsheets/d/1O2fVB3jhFS6PDUsCTHWBA0xofPdz7qGEoaf4i7Ox4H0/edit?usp=drivesdk&amp;ouid=118200887470037407082" TargetMode="External"/><Relationship Id="rId41" Type="http://schemas.openxmlformats.org/officeDocument/2006/relationships/hyperlink" Target="https://arxiv.org/abs/1610.02413" TargetMode="External"/><Relationship Id="rId22" Type="http://schemas.openxmlformats.org/officeDocument/2006/relationships/hyperlink" Target="https://docs.google.com/spreadsheets/d/1ATPZsJ7T-TImNr1mQaTSDBkOwR-NEKjrJNOSPQ_RtjU/edit?usp=drivesdk&amp;ouid=118200887470037407082" TargetMode="External"/><Relationship Id="rId21" Type="http://schemas.openxmlformats.org/officeDocument/2006/relationships/hyperlink" Target="https://docs.google.com/spreadsheets/d/1GjIP3YVl_MZsX3c0GwtYmWLz5tk_cgHn4UiCMN2ZH5s/edit?usp=drivesdk&amp;ouid=118200887470037407082" TargetMode="External"/><Relationship Id="rId24" Type="http://schemas.openxmlformats.org/officeDocument/2006/relationships/hyperlink" Target="https://docs.google.com/spreadsheets/d/1WgRdg04HDs17Dejz1D16pS1Du-kC91CyG0g-OGDSYBE/edit?usp=drivesdk&amp;ouid=118200887470037407082" TargetMode="External"/><Relationship Id="rId23" Type="http://schemas.openxmlformats.org/officeDocument/2006/relationships/hyperlink" Target="https://docs.google.com/spreadsheets/d/1-zmJO4eMpJanOG-FcM7nSBhJIWWSLBLniwdoVQyZxLE/edit?usp=drivesdk&amp;ouid=1182008874700374070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1712.08101" TargetMode="External"/><Relationship Id="rId26" Type="http://schemas.openxmlformats.org/officeDocument/2006/relationships/hyperlink" Target="https://arxiv.org/html/2509.22654v1" TargetMode="External"/><Relationship Id="rId25" Type="http://schemas.openxmlformats.org/officeDocument/2006/relationships/hyperlink" Target="https://raw.githubusercontent.com/IBM/telco-customer-churn-on-icp4d/master/data/Telco-Customer-Churn.csv" TargetMode="External"/><Relationship Id="rId28" Type="http://schemas.openxmlformats.org/officeDocument/2006/relationships/hyperlink" Target="https://www.mdpi.com/2504-4990/7/3/105" TargetMode="External"/><Relationship Id="rId27" Type="http://schemas.openxmlformats.org/officeDocument/2006/relationships/hyperlink" Target="https://arxiv.org/html/2509.22654v1" TargetMode="External"/><Relationship Id="rId5" Type="http://schemas.openxmlformats.org/officeDocument/2006/relationships/styles" Target="styles.xml"/><Relationship Id="rId6" Type="http://schemas.openxmlformats.org/officeDocument/2006/relationships/hyperlink" Target="https://drive.google.com/drive/folders/1Ezm-WHotbmqcDGBjJlD4k5rz5ER4lMMW" TargetMode="External"/><Relationship Id="rId29" Type="http://schemas.openxmlformats.org/officeDocument/2006/relationships/hyperlink" Target="https://arxiv.org/pdf/1712.08101" TargetMode="External"/><Relationship Id="rId7" Type="http://schemas.openxmlformats.org/officeDocument/2006/relationships/hyperlink" Target="https://arxiv.org/html/2509.22654v1" TargetMode="External"/><Relationship Id="rId8" Type="http://schemas.openxmlformats.org/officeDocument/2006/relationships/hyperlink" Target="https://www.mdpi.com/2504-4990/7/3/105" TargetMode="External"/><Relationship Id="rId31" Type="http://schemas.openxmlformats.org/officeDocument/2006/relationships/hyperlink" Target="https://arxiv.org/pdf/1712.08101" TargetMode="External"/><Relationship Id="rId30" Type="http://schemas.openxmlformats.org/officeDocument/2006/relationships/hyperlink" Target="https://arxiv.org/abs/1703.00056" TargetMode="External"/><Relationship Id="rId11" Type="http://schemas.openxmlformats.org/officeDocument/2006/relationships/hyperlink" Target="https://drive.google.com/drive/folders/1HW1sO3_R31ULPSl2pUz8y4lFJz-3VKjZ" TargetMode="External"/><Relationship Id="rId33" Type="http://schemas.openxmlformats.org/officeDocument/2006/relationships/hyperlink" Target="https://colab.research.google.com/drive/1Ja90qgbW-K2isVr8r4lBQZrp75-ADcNX?ouid=118200887470037407082" TargetMode="External"/><Relationship Id="rId10" Type="http://schemas.openxmlformats.org/officeDocument/2006/relationships/hyperlink" Target="https://drive.google.com/drive/folders/1Ezm-WHotbmqcDGBjJlD4k5rz5ER4lMMW" TargetMode="External"/><Relationship Id="rId32" Type="http://schemas.openxmlformats.org/officeDocument/2006/relationships/hyperlink" Target="https://arxiv.org/abs/1610.02413" TargetMode="External"/><Relationship Id="rId13" Type="http://schemas.openxmlformats.org/officeDocument/2006/relationships/hyperlink" Target="https://drive.google.com/drive/folders/1uzXRD7b_tvKJl_K2bN5NmURB5WHhee0x" TargetMode="External"/><Relationship Id="rId35" Type="http://schemas.openxmlformats.org/officeDocument/2006/relationships/hyperlink" Target="https://arxiv.org/abs/1610.02413" TargetMode="External"/><Relationship Id="rId12" Type="http://schemas.openxmlformats.org/officeDocument/2006/relationships/hyperlink" Target="https://docs.google.com/spreadsheets/d/1xMIuDXa3p7ezY09A8W4h8QF9CdkpIF_vDX7-wYER1mE/edit?usp=drivesdk&amp;ouid=118200887470037407082" TargetMode="External"/><Relationship Id="rId34" Type="http://schemas.openxmlformats.org/officeDocument/2006/relationships/hyperlink" Target="https://arxiv.org/abs/1412.3756" TargetMode="External"/><Relationship Id="rId15" Type="http://schemas.openxmlformats.org/officeDocument/2006/relationships/hyperlink" Target="https://colab.research.google.com/drive/1JD00XqCQkD-ZaGziI44stMPxf_KH2CGP?ouid=118200887470037407082" TargetMode="External"/><Relationship Id="rId37" Type="http://schemas.openxmlformats.org/officeDocument/2006/relationships/hyperlink" Target="https://arxiv.org/abs/1703.00056" TargetMode="External"/><Relationship Id="rId14" Type="http://schemas.openxmlformats.org/officeDocument/2006/relationships/hyperlink" Target="https://colab.research.google.com/drive/1v9w5HjaoseUO7UlVuK_HetcQj4GaEuc3?ouid=118200887470037407082" TargetMode="External"/><Relationship Id="rId36" Type="http://schemas.openxmlformats.org/officeDocument/2006/relationships/hyperlink" Target="https://fairlearn.org/main/user_guide/assessment/common_fairness_metrics.html" TargetMode="External"/><Relationship Id="rId17" Type="http://schemas.openxmlformats.org/officeDocument/2006/relationships/hyperlink" Target="https://colab.research.google.com/drive/1SayrTpcngJ-rSGE2fSsCdYcHI-gQxudN?ouid=118200887470037407082" TargetMode="External"/><Relationship Id="rId39" Type="http://schemas.openxmlformats.org/officeDocument/2006/relationships/hyperlink" Target="https://arxiv.org/abs/1610.02413" TargetMode="External"/><Relationship Id="rId16" Type="http://schemas.openxmlformats.org/officeDocument/2006/relationships/hyperlink" Target="https://colab.research.google.com/drive/12YjYLrPViAZwDMg44uovqjXd4a4ayYFt?ouid=118200887470037407082" TargetMode="External"/><Relationship Id="rId38" Type="http://schemas.openxmlformats.org/officeDocument/2006/relationships/hyperlink" Target="https://docs.google.com/spreadsheets/d/1WgRdg04HDs17Dejz1D16pS1Du-kC91CyG0g-OGDSYBE/edit?usp=drivesdk&amp;ouid=118200887470037407082" TargetMode="External"/><Relationship Id="rId19" Type="http://schemas.openxmlformats.org/officeDocument/2006/relationships/hyperlink" Target="https://drive.google.com/drive/folders/1HCHLSVWFjPYjGSlekJp6pMXTcjnrY3Cz" TargetMode="External"/><Relationship Id="rId18" Type="http://schemas.openxmlformats.org/officeDocument/2006/relationships/hyperlink" Target="https://colab.research.google.com/drive/1Ja90qgbW-K2isVr8r4lBQZrp75-ADcNX?ouid=118200887470037407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