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1828"/>
          <w:sz w:val="56"/>
        </w:rPr>
        <w:t>AgentShield Architecture &amp; Workflow</w:t>
      </w:r>
    </w:p>
    <w:p>
      <w:pPr>
        <w:jc w:val="center"/>
      </w:pPr>
      <w:r>
        <w:rPr>
          <w:rFonts w:ascii="Arial" w:hAnsi="Arial"/>
          <w:color w:val="475467"/>
          <w:sz w:val="28"/>
        </w:rPr>
        <w:t>Prompt-injection firewall for secure tool-using AI support agents</w:t>
      </w:r>
    </w:p>
    <w:p>
      <w:pPr>
        <w:pStyle w:val="IntenseQuote"/>
      </w:pPr>
      <w:r>
        <w:rPr>
          <w:rFonts w:ascii="Arial" w:hAnsi="Arial"/>
          <w:color w:val="344054"/>
          <w:sz w:val="21"/>
        </w:rPr>
        <w:t>Use this Word document for README screenshots, Kaggle writeup figures, and the video architecture explanation. Diagrams are rendered images, not Mermaid blocks.</w:t>
      </w:r>
    </w:p>
    <w:p>
      <w:pPr>
        <w:pStyle w:val="Heading1"/>
      </w:pPr>
      <w:r>
        <w:rPr>
          <w:rFonts w:ascii="Arial" w:hAnsi="Arial"/>
          <w:color w:val="101828"/>
        </w:rPr>
        <w:t>One-line architecture</w:t>
      </w:r>
    </w:p>
    <w:p>
      <w:r>
        <w:t>AgentShield protects a tool-using AI support agent with a fail-closed, four-stage firewall that inspects user input, retrieved context, planned tool calls, and final output before any risky action runs.</w:t>
      </w:r>
    </w:p>
    <w:p>
      <w:pPr>
        <w:pStyle w:val="Heading1"/>
      </w:pPr>
      <w:r>
        <w:rPr>
          <w:rFonts w:ascii="Arial" w:hAnsi="Arial"/>
          <w:color w:val="101828"/>
        </w:rPr>
        <w:t>Capstone-ready evidence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7625"/>
        <w:gridCol w:w="7625"/>
      </w:tblGrid>
      <w:tr>
        <w:tc>
          <w:tcPr>
            <w:tcW w:type="dxa" w:w="7625"/>
            <w:shd w:fill="E0F2FE"/>
          </w:tcPr>
          <w:p>
            <w:r>
              <w:rPr>
                <w:rFonts w:ascii="Arial" w:hAnsi="Arial"/>
                <w:b/>
              </w:rPr>
              <w:t>Proof point</w:t>
            </w:r>
          </w:p>
        </w:tc>
        <w:tc>
          <w:tcPr>
            <w:tcW w:type="dxa" w:w="7625"/>
            <w:shd w:fill="E0F2FE"/>
          </w:tcPr>
          <w:p>
            <w:r>
              <w:rPr>
                <w:rFonts w:ascii="Arial" w:hAnsi="Arial"/>
                <w:b/>
              </w:rPr>
              <w:t>What to say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Security evals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47/47 passing with allow, block, sanitize, require_human_approval, and ask_clarification covered.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Tests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197 pytest tests passing in local validation.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Google integration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Optional Gemini live judge/detector and optional Google ADK LlmAgent path.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Deployability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FastAPI app, Dockerfile, Cloud Run deploy script, requirements, and .env.example.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Safety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Risky email/CRM/refund actions are dry-run only; no real customer data or secrets should be committed.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01828"/>
        </w:rPr>
        <w:t>1. System architecture</w:t>
      </w:r>
    </w:p>
    <w:p>
      <w:r>
        <w:drawing>
          <wp:inline xmlns:a="http://schemas.openxmlformats.org/drawingml/2006/main" xmlns:pic="http://schemas.openxmlformats.org/drawingml/2006/picture">
            <wp:extent cx="9509760" cy="49547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509760" cy="49547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467"/>
          <w:sz w:val="18"/>
        </w:rPr>
        <w:t>Figure 1. AgentShield system architecture: optional ADK/Gemini planning, deterministic firewall, guardrails, decisions, MCP/tool layer, audit, and JudgeAgent.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The deterministic firewall is the final security gatekeeper.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Tools are only called after the firewall approves the tool and arguments.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MCP should be described as: in-process MCP-style registry plus real MCP stdio server support.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Gemini is optional and advisory; it is not required for deterministic evals.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01828"/>
        </w:rPr>
        <w:t>2. Runtime workflow</w:t>
      </w:r>
    </w:p>
    <w:p>
      <w:r>
        <w:drawing>
          <wp:inline xmlns:a="http://schemas.openxmlformats.org/drawingml/2006/main" xmlns:pic="http://schemas.openxmlformats.org/drawingml/2006/picture">
            <wp:extent cx="6583680" cy="4492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ntime_work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44924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467"/>
          <w:sz w:val="18"/>
        </w:rPr>
        <w:t>Figure 2. Runtime workflow from user request to safe response, JudgeAgent score, and redacted audit log.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User submits request; optional ADK LlmAgent can plan/reason.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AgentShield checks input, context, planned tool call, and final output.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Most restrictive decision wins: allow, block, sanitize, approval, or clarification.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Approved tools run in dry-run/read-only mode and results are re-inspected.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JudgeAgent scores after the decision; audit log stores redacted details.</w:t>
      </w:r>
    </w:p>
    <w:p>
      <w:r>
        <w:br w:type="page"/>
      </w:r>
    </w:p>
    <w:p>
      <w:pPr>
        <w:pStyle w:val="Heading1"/>
      </w:pPr>
      <w:r>
        <w:rPr>
          <w:rFonts w:ascii="Arial" w:hAnsi="Arial"/>
          <w:color w:val="101828"/>
        </w:rPr>
        <w:t>3. Security decision flow</w:t>
      </w:r>
    </w:p>
    <w:p>
      <w:r>
        <w:drawing>
          <wp:inline xmlns:a="http://schemas.openxmlformats.org/drawingml/2006/main" xmlns:pic="http://schemas.openxmlformats.org/drawingml/2006/picture">
            <wp:extent cx="9326880" cy="156946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urity_decis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326880" cy="1569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467"/>
          <w:sz w:val="18"/>
        </w:rPr>
        <w:t>Figure 3. Fail-closed security decision flow and five possible decisions.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7625"/>
        <w:gridCol w:w="7625"/>
      </w:tblGrid>
      <w:tr>
        <w:tc>
          <w:tcPr>
            <w:tcW w:type="dxa" w:w="7625"/>
            <w:shd w:fill="E0F2FE"/>
          </w:tcPr>
          <w:p>
            <w:r>
              <w:rPr>
                <w:rFonts w:ascii="Arial" w:hAnsi="Arial"/>
                <w:b/>
              </w:rPr>
              <w:t>Decision</w:t>
            </w:r>
          </w:p>
        </w:tc>
        <w:tc>
          <w:tcPr>
            <w:tcW w:type="dxa" w:w="7625"/>
            <w:shd w:fill="E0F2FE"/>
          </w:tcPr>
          <w:p>
            <w:r>
              <w:rPr>
                <w:rFonts w:ascii="Arial" w:hAnsi="Arial"/>
                <w:b/>
              </w:rPr>
              <w:t>Meaning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allow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Low-risk support/read-only/dry-run action can proceed.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block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Prompt injection, exfiltration, sensitive disclosure, unknown tool, or over-size request.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sanitize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Benign content is recoverable after removing injection or redacting PII/secrets.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require_human_approval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Clear but risky action such as CRM update, high refund, or bulk action.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ask_clarification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Missing required business details such as order ID, recipient, or target.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01828"/>
        </w:rPr>
        <w:t>4. ADK, Gemini, and JudgeAgent boundary</w:t>
      </w:r>
    </w:p>
    <w:p>
      <w:r>
        <w:drawing>
          <wp:inline xmlns:a="http://schemas.openxmlformats.org/drawingml/2006/main" xmlns:pic="http://schemas.openxmlformats.org/drawingml/2006/picture">
            <wp:extent cx="8869680" cy="37003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lm_adk_judge_bounda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7003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i/>
          <w:color w:val="475467"/>
          <w:sz w:val="18"/>
        </w:rPr>
        <w:t>Figure 4. LLMs advise or plan; deterministic guardrails decide. Gemini/ADK is optional and does not weaken security decisions.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7625"/>
        <w:gridCol w:w="7625"/>
      </w:tblGrid>
      <w:tr>
        <w:tc>
          <w:tcPr>
            <w:tcW w:type="dxa" w:w="7625"/>
            <w:shd w:fill="E0F2FE"/>
          </w:tcPr>
          <w:p>
            <w:r>
              <w:rPr>
                <w:rFonts w:ascii="Arial" w:hAnsi="Arial"/>
                <w:b/>
              </w:rPr>
              <w:t>Concept</w:t>
            </w:r>
          </w:p>
        </w:tc>
        <w:tc>
          <w:tcPr>
            <w:tcW w:type="dxa" w:w="7625"/>
            <w:shd w:fill="E0F2FE"/>
          </w:tcPr>
          <w:p>
            <w:r>
              <w:rPr>
                <w:rFonts w:ascii="Arial" w:hAnsi="Arial"/>
                <w:b/>
              </w:rPr>
              <w:t>How to explain it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Normal agents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Python specialist agents/components such as InjectionDetectorAgent, ToolPolicyAgent, JudgeAgent, and AuditReporterAgent. They can be deterministic.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ADK LlmAgent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Optional Google ADK agent using Gemini for live reasoning, planning, and tool interaction.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JudgeAgent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Scores and explains decisions after the firewall decision. It can flag needs_review but cannot change block to allow.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needs_review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Advisory audit flag. It does not hold an action.</w:t>
            </w:r>
          </w:p>
        </w:tc>
      </w:tr>
      <w:tr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require_human_approval</w:t>
            </w:r>
          </w:p>
        </w:tc>
        <w:tc>
          <w:tcPr>
            <w:tcW w:type="dxa" w:w="7625"/>
            <w:vAlign w:val="top"/>
          </w:tcPr>
          <w:p>
            <w:r>
              <w:rPr>
                <w:rFonts w:ascii="Arial" w:hAnsi="Arial"/>
                <w:sz w:val="19"/>
              </w:rPr>
              <w:t>Firewall decision that holds an action until a human approves it.</w:t>
            </w:r>
          </w:p>
        </w:tc>
      </w:tr>
    </w:tbl>
    <w:p>
      <w:pPr>
        <w:pStyle w:val="Heading1"/>
      </w:pPr>
      <w:r>
        <w:rPr>
          <w:rFonts w:ascii="Arial" w:hAnsi="Arial"/>
          <w:color w:val="101828"/>
        </w:rPr>
        <w:t>5. Demo workflow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5083"/>
        <w:gridCol w:w="5083"/>
        <w:gridCol w:w="5083"/>
      </w:tblGrid>
      <w:tr>
        <w:tc>
          <w:tcPr>
            <w:tcW w:type="dxa" w:w="5083"/>
            <w:shd w:fill="E0F2FE"/>
          </w:tcPr>
          <w:p>
            <w:r>
              <w:rPr>
                <w:rFonts w:ascii="Arial" w:hAnsi="Arial"/>
                <w:b/>
              </w:rPr>
              <w:t>Demo</w:t>
            </w:r>
          </w:p>
        </w:tc>
        <w:tc>
          <w:tcPr>
            <w:tcW w:type="dxa" w:w="5083"/>
            <w:shd w:fill="E0F2FE"/>
          </w:tcPr>
          <w:p>
            <w:r>
              <w:rPr>
                <w:rFonts w:ascii="Arial" w:hAnsi="Arial"/>
                <w:b/>
              </w:rPr>
              <w:t>Example</w:t>
            </w:r>
          </w:p>
        </w:tc>
        <w:tc>
          <w:tcPr>
            <w:tcW w:type="dxa" w:w="5083"/>
            <w:shd w:fill="E0F2FE"/>
          </w:tcPr>
          <w:p>
            <w:r>
              <w:rPr>
                <w:rFonts w:ascii="Arial" w:hAnsi="Arial"/>
                <w:b/>
              </w:rPr>
              <w:t>Expected decision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1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Normal refund/order question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allow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2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share DOB and bank details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block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3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Malicious attachment/email/thread/tool response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block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4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Tool/result text contains fake card/DOB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sanitize</w:t>
            </w:r>
          </w:p>
        </w:tc>
      </w:tr>
      <w:tr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5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High refund or CRM update</w:t>
            </w:r>
          </w:p>
        </w:tc>
        <w:tc>
          <w:tcPr>
            <w:tcW w:type="dxa" w:w="5083"/>
            <w:vAlign w:val="top"/>
          </w:tcPr>
          <w:p>
            <w:r>
              <w:rPr>
                <w:rFonts w:ascii="Arial" w:hAnsi="Arial"/>
                <w:sz w:val="19"/>
              </w:rPr>
              <w:t>require_human_approval</w:t>
            </w:r>
          </w:p>
        </w:tc>
      </w:tr>
    </w:tbl>
    <w:p>
      <w:pPr>
        <w:pStyle w:val="Heading2"/>
      </w:pPr>
      <w:r>
        <w:rPr>
          <w:rFonts w:ascii="Arial" w:hAnsi="Arial"/>
          <w:color w:val="101828"/>
        </w:rPr>
        <w:t>Commands to show</w:t>
      </w:r>
    </w:p>
    <w:p>
      <w:r>
        <w:rPr>
          <w:rFonts w:ascii="Courier New" w:hAnsi="Courier New"/>
          <w:color w:val="101828"/>
          <w:sz w:val="20"/>
        </w:rPr>
        <w:t>python evals/run_evals.py</w:t>
      </w:r>
    </w:p>
    <w:p>
      <w:r>
        <w:rPr>
          <w:rFonts w:ascii="Courier New" w:hAnsi="Courier New"/>
          <w:color w:val="101828"/>
          <w:sz w:val="20"/>
        </w:rPr>
        <w:t>python -m pytest</w:t>
      </w:r>
    </w:p>
    <w:p>
      <w:r>
        <w:rPr>
          <w:rFonts w:ascii="Courier New" w:hAnsi="Courier New"/>
          <w:color w:val="101828"/>
          <w:sz w:val="20"/>
        </w:rPr>
        <w:t>python demo.py</w:t>
      </w:r>
    </w:p>
    <w:p>
      <w:r>
        <w:rPr>
          <w:rFonts w:ascii="Courier New" w:hAnsi="Courier New"/>
          <w:color w:val="101828"/>
          <w:sz w:val="20"/>
        </w:rPr>
        <w:t>python check_gemini.py</w:t>
      </w:r>
    </w:p>
    <w:p>
      <w:r>
        <w:rPr>
          <w:rFonts w:ascii="Courier New" w:hAnsi="Courier New"/>
          <w:color w:val="101828"/>
          <w:sz w:val="20"/>
        </w:rPr>
        <w:t>tail -n 5 logs/audit_log.jsonl</w:t>
      </w:r>
    </w:p>
    <w:p>
      <w:pPr>
        <w:pStyle w:val="Heading2"/>
      </w:pPr>
      <w:r>
        <w:rPr>
          <w:rFonts w:ascii="Arial" w:hAnsi="Arial"/>
          <w:color w:val="101828"/>
        </w:rPr>
        <w:t>Writeup-ready architecture paragraph</w:t>
      </w:r>
    </w:p>
    <w:p>
      <w:r>
        <w:t>AgentShield uses a four-stage, fail-closed firewall to protect a tool-using AI support agent. The firewall inspects the user input, retrieved context such as attachments and knowledge-base documents, planned tool calls, and final output. Each stage returns one of five decisions: allow, block, sanitize, require human approval, or ask clarification. The final verdict is deterministic: the most restrictive decision wins. Tools are exposed through a firewall-gated tool layer, including an in-process registry and a real MCP stdio server, while risky tools remain dry-run only. JudgeAgent provides post-decision scoring and review flags, with optional Gemini as an advisory reviewer; deterministic guardrails remain the final security gatekeeper.</w:t>
      </w:r>
    </w:p>
    <w:p>
      <w:pPr>
        <w:pStyle w:val="Heading2"/>
      </w:pPr>
      <w:r>
        <w:rPr>
          <w:rFonts w:ascii="Arial" w:hAnsi="Arial"/>
          <w:color w:val="101828"/>
        </w:rPr>
        <w:t>Recommended wording for README/Kaggle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MCP wording: firewall-gated tools with an in-process MCP-style registry and real MCP stdio server support.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Gemini wording: optional advisory reviewer and live Google integration, not the final gatekeeper.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ADK wording: optional Google ADK LlmAgent path for live Gemini-based tool interaction.</w:t>
      </w:r>
    </w:p>
    <w:p>
      <w:pPr>
        <w:pStyle w:val="ListBullet"/>
        <w:spacing w:after="40"/>
      </w:pPr>
      <w:r>
        <w:rPr>
          <w:rFonts w:ascii="Arial" w:hAnsi="Arial"/>
          <w:sz w:val="21"/>
        </w:rPr>
        <w:t>Security wording: deterministic guardrails make the final decision and fail closed.</w:t>
      </w:r>
    </w:p>
    <w:sectPr w:rsidR="00FC693F" w:rsidRPr="0006063C" w:rsidSect="00034616"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