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3E1FA0" w:rsidRPr="007E7D5D">
        <w:rPr>
          <w:noProof/>
        </w:rPr>
        <w:t>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560445" w:rsidRPr="007E7D5D" w:rsidRDefault="00484549" w:rsidP="00560445">
      <w:pPr>
        <w:rPr>
          <w:noProof/>
        </w:rPr>
      </w:pPr>
      <w:r w:rsidRPr="007E7D5D">
        <w:rPr>
          <w:noProof/>
        </w:rPr>
        <w:t xml:space="preserve">This slide has a heading, C A I A Exam Review, </w:t>
      </w:r>
      <w:r w:rsidR="00560445" w:rsidRPr="007E7D5D">
        <w:rPr>
          <w:noProof/>
        </w:rPr>
        <w:t>followed by a subheading, that reads, Other Asset Allocation Approaches.</w:t>
      </w:r>
    </w:p>
    <w:p w:rsidR="00484549" w:rsidRPr="007E7D5D" w:rsidRDefault="00484549" w:rsidP="00484549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model.asset.alloc.approach.0121.slide.000</w:t>
      </w:r>
      <w:r w:rsidR="003E1FA0" w:rsidRPr="007E7D5D">
        <w:rPr>
          <w:noProof/>
        </w:rPr>
        <w:t>2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560445" w:rsidRPr="007E7D5D" w:rsidRDefault="00560445" w:rsidP="00560445">
      <w:pPr>
        <w:rPr>
          <w:noProof/>
        </w:rPr>
      </w:pPr>
      <w:r w:rsidRPr="007E7D5D">
        <w:rPr>
          <w:noProof/>
        </w:rPr>
        <w:t>This slide has a heading, Learning Outcome Statements, followed by a list: Demonstrate knowledge of the core-satellite approach; Demonstrate knowledge of top-down and bottom-up asset allocation approaches; Demonstrate knowledge of risk budgeting; Demonstrate knowledge of factor-based implementations of a risk budgeting approach; Demonstrate knowledge of risk parity; Demonstrate knowledge of other quantitative portfolio allocation strategies; and Demonstrate knowledge of the new investment model.</w:t>
      </w: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model.asset.alloc.approach.0121.slide.000</w:t>
      </w:r>
      <w:r w:rsidR="003E1FA0" w:rsidRPr="007E7D5D">
        <w:rPr>
          <w:noProof/>
        </w:rPr>
        <w:t>3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30028F" w:rsidRPr="007E7D5D" w:rsidRDefault="0030028F" w:rsidP="0030028F">
      <w:pPr>
        <w:rPr>
          <w:noProof/>
        </w:rPr>
      </w:pPr>
      <w:r w:rsidRPr="007E7D5D">
        <w:rPr>
          <w:noProof/>
        </w:rPr>
        <w:t xml:space="preserve">This slide has a heading, Other Asset Allocation Approaches, </w:t>
      </w:r>
      <w:r w:rsidR="00146CD1" w:rsidRPr="007E7D5D">
        <w:rPr>
          <w:noProof/>
        </w:rPr>
        <w:t>followed by a subheading, that reads, Part 1.</w:t>
      </w: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model.asset.alloc.approach.0121.slide.000</w:t>
      </w:r>
      <w:r w:rsidR="003E1FA0" w:rsidRPr="007E7D5D">
        <w:rPr>
          <w:noProof/>
        </w:rPr>
        <w:t>4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 xml:space="preserve">Alt-Text Complexity: </w:t>
      </w:r>
      <w:r w:rsidR="00484549" w:rsidRPr="007E7D5D">
        <w:rPr>
          <w:noProof/>
        </w:rPr>
        <w:t>2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146CD1" w:rsidRPr="007E7D5D" w:rsidRDefault="00146CD1" w:rsidP="00146CD1">
      <w:pPr>
        <w:rPr>
          <w:noProof/>
        </w:rPr>
      </w:pPr>
      <w:r w:rsidRPr="007E7D5D">
        <w:rPr>
          <w:noProof/>
        </w:rPr>
        <w:t>This slide has a heading, Core-Satellite Approach, followed by a triangular diagram. The triangle is divided horizontally into two parts, the top of the triangle is labeled Satellite Portfolio: Upside-risk seeking Extended, and bottom of the triangle is labeled Core Portfolio: Downside-risk aversion Limited monitoring.</w:t>
      </w:r>
    </w:p>
    <w:p w:rsidR="003E1FA0" w:rsidRPr="007E7D5D" w:rsidRDefault="003E1FA0" w:rsidP="003E1FA0">
      <w:pPr>
        <w:rPr>
          <w:noProof/>
        </w:rPr>
      </w:pPr>
    </w:p>
    <w:p w:rsidR="00484549" w:rsidRPr="007E7D5D" w:rsidRDefault="00484549" w:rsidP="003E1FA0">
      <w:pPr>
        <w:pStyle w:val="Heading3"/>
        <w:spacing w:before="100" w:beforeAutospacing="1" w:after="100" w:afterAutospacing="1"/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3E1FA0" w:rsidRPr="007E7D5D">
        <w:rPr>
          <w:noProof/>
        </w:rPr>
        <w:t>5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484549" w:rsidRPr="007E7D5D" w:rsidRDefault="00484549" w:rsidP="00484549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146CD1" w:rsidRPr="007E7D5D" w:rsidRDefault="00146CD1" w:rsidP="00146CD1">
      <w:pPr>
        <w:rPr>
          <w:noProof/>
        </w:rPr>
      </w:pPr>
      <w:r w:rsidRPr="007E7D5D">
        <w:rPr>
          <w:noProof/>
        </w:rPr>
        <w:t>This slide has a heading, Top-Down and Bottom-Up Asset Allocation Approaches, followed by two subheadings, that reads, Top-down and Bottom-up.</w:t>
      </w:r>
    </w:p>
    <w:p w:rsidR="00146CD1" w:rsidRPr="007E7D5D" w:rsidRDefault="00146CD1" w:rsidP="00146CD1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3E1FA0" w:rsidRPr="007E7D5D">
        <w:rPr>
          <w:noProof/>
        </w:rPr>
        <w:t>6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2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337CF1" w:rsidRPr="007E7D5D" w:rsidRDefault="00702028" w:rsidP="00337CF1">
      <w:pPr>
        <w:rPr>
          <w:noProof/>
        </w:rPr>
      </w:pPr>
      <w:r w:rsidRPr="007E7D5D">
        <w:rPr>
          <w:noProof/>
        </w:rPr>
        <w:t>This slide has a heading, Risk Budgeting, followed by a sentence, a list and a</w:t>
      </w:r>
      <w:r w:rsidR="00337CF1" w:rsidRPr="007E7D5D">
        <w:rPr>
          <w:noProof/>
        </w:rPr>
        <w:t>n equation</w:t>
      </w:r>
      <w:r w:rsidRPr="007E7D5D">
        <w:rPr>
          <w:noProof/>
        </w:rPr>
        <w:t>. The sentence reads, Risk budgeting</w:t>
      </w:r>
      <w:r w:rsidRPr="007E7D5D">
        <w:rPr>
          <w:b/>
          <w:bCs/>
          <w:noProof/>
        </w:rPr>
        <w:t> </w:t>
      </w:r>
      <w:r w:rsidRPr="007E7D5D">
        <w:rPr>
          <w:noProof/>
        </w:rPr>
        <w:t xml:space="preserve">is a valuable tool for analyzing a portfolio’s risk-return profile and imposing risk constraints desired by asset owners. The list titled Ignores expected returns, is as follows: With some exceptions: Example, using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of tracking errors as a measure of risk; Allocator may allow larger T E for mangers with high probability of large alpha; Most common risk measures: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and V a R.</w:t>
      </w:r>
      <w:r w:rsidR="00337CF1" w:rsidRPr="007E7D5D">
        <w:rPr>
          <w:noProof/>
        </w:rPr>
        <w:t xml:space="preserve"> The equation reads, Given the variance of returns, start fraction </w:t>
      </w:r>
      <w:r w:rsidR="00D3594D" w:rsidRPr="007E7D5D">
        <w:rPr>
          <w:noProof/>
        </w:rPr>
        <w:t>standard deviation</w:t>
      </w:r>
      <w:r w:rsidR="00337CF1" w:rsidRPr="007E7D5D">
        <w:rPr>
          <w:noProof/>
        </w:rPr>
        <w:t xml:space="preserve"> square of P equals Variance of left parenthesis sum of N till i equals 1 times </w:t>
      </w:r>
      <w:r w:rsidR="00D3594D" w:rsidRPr="007E7D5D">
        <w:rPr>
          <w:noProof/>
        </w:rPr>
        <w:t>w</w:t>
      </w:r>
      <w:r w:rsidR="00337CF1" w:rsidRPr="007E7D5D">
        <w:rPr>
          <w:noProof/>
        </w:rPr>
        <w:t xml:space="preserve"> of i times</w:t>
      </w:r>
      <w:r w:rsidR="000B7C02" w:rsidRPr="007E7D5D">
        <w:rPr>
          <w:noProof/>
        </w:rPr>
        <w:t xml:space="preserve"> R of i right parenthesis equals sum of N till i equals 1 times sum of N till j equals 1 times w subscript I times w subscript j times </w:t>
      </w:r>
      <w:r w:rsidR="00D3594D" w:rsidRPr="007E7D5D">
        <w:rPr>
          <w:noProof/>
        </w:rPr>
        <w:t>standard deviation</w:t>
      </w:r>
      <w:r w:rsidR="000B7C02" w:rsidRPr="007E7D5D">
        <w:rPr>
          <w:noProof/>
        </w:rPr>
        <w:t xml:space="preserve"> subscript i j</w:t>
      </w:r>
      <w:r w:rsidR="00337CF1" w:rsidRPr="007E7D5D">
        <w:rPr>
          <w:noProof/>
        </w:rPr>
        <w:t xml:space="preserve"> , one can find the contribution of each asset class to total portfolio risk:</w:t>
      </w:r>
      <w:r w:rsidR="000B7C02" w:rsidRPr="007E7D5D">
        <w:rPr>
          <w:noProof/>
        </w:rPr>
        <w:t xml:space="preserve"> </w:t>
      </w:r>
      <w:r w:rsidR="00D3594D" w:rsidRPr="007E7D5D">
        <w:rPr>
          <w:noProof/>
        </w:rPr>
        <w:t>standard deviation</w:t>
      </w:r>
      <w:r w:rsidR="008D49BC" w:rsidRPr="007E7D5D">
        <w:rPr>
          <w:noProof/>
        </w:rPr>
        <w:t xml:space="preserve"> subscript p equals delta </w:t>
      </w:r>
      <w:r w:rsidR="00D3594D" w:rsidRPr="007E7D5D">
        <w:rPr>
          <w:noProof/>
        </w:rPr>
        <w:t>standard deviation</w:t>
      </w:r>
      <w:r w:rsidR="008D49BC" w:rsidRPr="007E7D5D">
        <w:rPr>
          <w:noProof/>
        </w:rPr>
        <w:t xml:space="preserve"> subscript p over delta w subscript 1 times w subscript 1 plus ellipsis plus delta </w:t>
      </w:r>
      <w:r w:rsidR="00D3594D" w:rsidRPr="007E7D5D">
        <w:rPr>
          <w:noProof/>
        </w:rPr>
        <w:t>standard deviation</w:t>
      </w:r>
      <w:r w:rsidR="008D49BC" w:rsidRPr="007E7D5D">
        <w:rPr>
          <w:noProof/>
        </w:rPr>
        <w:t xml:space="preserve"> subscript p over delta w subscript N times w subscript N.</w:t>
      </w:r>
    </w:p>
    <w:p w:rsidR="00702028" w:rsidRPr="007E7D5D" w:rsidRDefault="00702028" w:rsidP="00337CF1">
      <w:pPr>
        <w:rPr>
          <w:noProof/>
        </w:rPr>
      </w:pPr>
    </w:p>
    <w:p w:rsidR="00702028" w:rsidRPr="007E7D5D" w:rsidRDefault="00702028" w:rsidP="00702028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3E1FA0" w:rsidRPr="007E7D5D">
        <w:rPr>
          <w:noProof/>
        </w:rPr>
        <w:t>7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2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5B7825" w:rsidP="003E1FA0">
      <w:pPr>
        <w:rPr>
          <w:noProof/>
        </w:rPr>
      </w:pPr>
      <w:r>
        <w:rPr>
          <w:noProof/>
          <w:lang w:val="en-GB" w:eastAsia="en-GB"/>
        </w:rPr>
        <w:t>`‘</w:t>
      </w:r>
      <w:r>
        <w:rPr>
          <w:noProof/>
        </w:rPr>
        <w:drawing>
          <wp:inline distT="0" distB="0" distL="0" distR="0">
            <wp:extent cx="460057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893774" w:rsidRPr="007E7D5D" w:rsidRDefault="00893774" w:rsidP="00893774">
      <w:pPr>
        <w:rPr>
          <w:noProof/>
        </w:rPr>
      </w:pPr>
      <w:r w:rsidRPr="007E7D5D">
        <w:rPr>
          <w:noProof/>
        </w:rPr>
        <w:t xml:space="preserve">This slide has a heading, Risk Budgeting (Continued), followed by four steps. The steps are as follows: Step 1. Calculate the total risk of the portfolio,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square subscript p equals w square subscript 1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square subscript 1 plus w square subscript 2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square subscript 2 plus w square subscript 3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square subscript 3 plus 2 times w subscript 1 times w subscript 2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1, 2 plus 2 times w subscript 1 times w subscript 3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1, 3 plus 2 times w subscript 2 times w subscript 2 times w subscript 3 times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2, 2; Step 2. Calculate the </w:t>
      </w:r>
      <w:r w:rsidR="005B7825">
        <w:rPr>
          <w:noProof/>
        </w:rPr>
        <w:t xml:space="preserve">risk </w:t>
      </w:r>
      <w:r w:rsidRPr="007E7D5D">
        <w:rPr>
          <w:noProof/>
        </w:rPr>
        <w:t xml:space="preserve">contributions of each asset,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p equals delta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p over </w:t>
      </w:r>
      <w:r w:rsidR="0061508E" w:rsidRPr="007E7D5D">
        <w:rPr>
          <w:noProof/>
        </w:rPr>
        <w:t xml:space="preserve">delta w subscript 1 times w subscript 1 plus ellipsis plus delta </w:t>
      </w:r>
      <w:r w:rsidR="00D3594D" w:rsidRPr="007E7D5D">
        <w:rPr>
          <w:noProof/>
        </w:rPr>
        <w:t>standard deviation</w:t>
      </w:r>
      <w:r w:rsidR="0061508E" w:rsidRPr="007E7D5D">
        <w:rPr>
          <w:noProof/>
        </w:rPr>
        <w:t xml:space="preserve"> subscript p over delta w subscript N times w subscript N; Step 3. Analyze, </w:t>
      </w:r>
      <w:r w:rsidR="00062C4D" w:rsidRPr="007E7D5D">
        <w:rPr>
          <w:noProof/>
        </w:rPr>
        <w:t xml:space="preserve">Consider the percentage of risk contribution </w:t>
      </w:r>
      <w:r w:rsidR="00062C4D" w:rsidRPr="007E7D5D">
        <w:rPr>
          <w:noProof/>
        </w:rPr>
        <w:lastRenderedPageBreak/>
        <w:t xml:space="preserve">relative to the asset allocations; Step 4. Adjust allocations as needed, followed by a table that has two columns. The column headings are: Weight and % Contribution to Total Risk and the data from the table are as follows: </w:t>
      </w:r>
    </w:p>
    <w:p w:rsidR="00062C4D" w:rsidRPr="007E7D5D" w:rsidRDefault="00062C4D" w:rsidP="00893774">
      <w:pPr>
        <w:rPr>
          <w:noProof/>
        </w:rPr>
      </w:pPr>
      <w:r w:rsidRPr="007E7D5D">
        <w:rPr>
          <w:noProof/>
        </w:rPr>
        <w:t>Asset 1: Weight, 45%; % Contribution to Total Risk, .027 over .086 equals 31%;</w:t>
      </w:r>
    </w:p>
    <w:p w:rsidR="00062C4D" w:rsidRPr="007E7D5D" w:rsidRDefault="00062C4D" w:rsidP="00062C4D">
      <w:pPr>
        <w:rPr>
          <w:noProof/>
        </w:rPr>
      </w:pPr>
      <w:r w:rsidRPr="007E7D5D">
        <w:rPr>
          <w:noProof/>
        </w:rPr>
        <w:t>Asset 2: Weight, 30%; % Contribution to Total Risk, .0276 over .086 equals 32%;</w:t>
      </w:r>
    </w:p>
    <w:p w:rsidR="00062C4D" w:rsidRPr="007E7D5D" w:rsidRDefault="00062C4D" w:rsidP="00062C4D">
      <w:pPr>
        <w:rPr>
          <w:noProof/>
        </w:rPr>
      </w:pPr>
      <w:r w:rsidRPr="007E7D5D">
        <w:rPr>
          <w:noProof/>
        </w:rPr>
        <w:t>Asset 3: Weight, 25%; % Contribution to Total Risk, .0319 over .086 equals 37%.</w:t>
      </w:r>
    </w:p>
    <w:p w:rsidR="00062C4D" w:rsidRPr="007E7D5D" w:rsidRDefault="00062C4D" w:rsidP="00893774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3E1FA0" w:rsidRPr="007E7D5D">
        <w:rPr>
          <w:noProof/>
        </w:rPr>
        <w:t>8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2772A8" w:rsidRDefault="002772A8" w:rsidP="002772A8">
      <w:pPr>
        <w:rPr>
          <w:noProof/>
        </w:rPr>
      </w:pPr>
      <w:r>
        <w:rPr>
          <w:noProof/>
        </w:rPr>
        <w:drawing>
          <wp:inline distT="0" distB="0" distL="0" distR="0">
            <wp:extent cx="45910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2772A8">
      <w:r w:rsidRPr="007E7D5D">
        <w:rPr>
          <w:noProof/>
        </w:rPr>
        <w:t>Alt-Text:</w:t>
      </w:r>
    </w:p>
    <w:p w:rsidR="009541C0" w:rsidRPr="007E7D5D" w:rsidRDefault="009541C0" w:rsidP="009541C0">
      <w:pPr>
        <w:rPr>
          <w:noProof/>
        </w:rPr>
      </w:pPr>
      <w:r w:rsidRPr="007E7D5D">
        <w:rPr>
          <w:noProof/>
        </w:rPr>
        <w:t xml:space="preserve">This slide has a heading, Risk Budgeting (Continued), followed by Step 2, that reads, Calculate the contributions of each asset or factor, </w:t>
      </w:r>
      <w:r w:rsidR="002772A8" w:rsidRPr="007E7D5D">
        <w:rPr>
          <w:noProof/>
        </w:rPr>
        <w:t>standard deviation subscript p equals delta standard deviation subscript p over delta w subscript 1 times w subscript 1 plus ellipsis plus delta standard deviation subscript p over delta w subscript N times w subscript N;</w:t>
      </w:r>
      <w:r w:rsidR="002772A8">
        <w:rPr>
          <w:noProof/>
        </w:rPr>
        <w:t xml:space="preserve"> </w:t>
      </w:r>
      <w:r w:rsidRPr="007E7D5D">
        <w:rPr>
          <w:noProof/>
        </w:rPr>
        <w:t xml:space="preserve">For assest i, delta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</w:t>
      </w:r>
      <w:r w:rsidRPr="007E7D5D">
        <w:rPr>
          <w:noProof/>
        </w:rPr>
        <w:lastRenderedPageBreak/>
        <w:t xml:space="preserve">P over delta W subscript i times W subscript i equals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i P over </w:t>
      </w:r>
      <w:r w:rsidR="00D3594D" w:rsidRPr="007E7D5D">
        <w:rPr>
          <w:noProof/>
        </w:rPr>
        <w:t>standard deviation</w:t>
      </w:r>
      <w:r w:rsidRPr="007E7D5D">
        <w:rPr>
          <w:noProof/>
        </w:rPr>
        <w:t xml:space="preserve"> subscript P times </w:t>
      </w:r>
      <w:r w:rsidR="00825709" w:rsidRPr="007E7D5D">
        <w:rPr>
          <w:noProof/>
        </w:rPr>
        <w:t xml:space="preserve">W subscript </w:t>
      </w:r>
      <w:r w:rsidR="002772A8">
        <w:rPr>
          <w:noProof/>
        </w:rPr>
        <w:t>I;</w:t>
      </w:r>
      <w:r w:rsidR="00825709" w:rsidRPr="007E7D5D">
        <w:rPr>
          <w:noProof/>
        </w:rPr>
        <w:t xml:space="preserve"> equals P subscript i times </w:t>
      </w:r>
      <w:r w:rsidR="00D3594D" w:rsidRPr="007E7D5D">
        <w:rPr>
          <w:noProof/>
        </w:rPr>
        <w:t>standard deviation</w:t>
      </w:r>
      <w:r w:rsidR="00825709" w:rsidRPr="007E7D5D">
        <w:rPr>
          <w:noProof/>
        </w:rPr>
        <w:t xml:space="preserve"> </w:t>
      </w:r>
      <w:r w:rsidR="002772A8">
        <w:rPr>
          <w:noProof/>
        </w:rPr>
        <w:t xml:space="preserve">subscript i times W subscript I; where </w:t>
      </w:r>
      <w:r w:rsidR="00825709" w:rsidRPr="007E7D5D">
        <w:rPr>
          <w:noProof/>
        </w:rPr>
        <w:t xml:space="preserve"> </w:t>
      </w:r>
      <w:r w:rsidR="002772A8" w:rsidRPr="007E7D5D">
        <w:rPr>
          <w:noProof/>
        </w:rPr>
        <w:t xml:space="preserve">P subscript </w:t>
      </w:r>
      <w:r w:rsidR="002772A8">
        <w:rPr>
          <w:noProof/>
        </w:rPr>
        <w:t xml:space="preserve">I equals </w:t>
      </w:r>
      <w:r w:rsidR="002772A8" w:rsidRPr="007E7D5D">
        <w:rPr>
          <w:noProof/>
        </w:rPr>
        <w:t xml:space="preserve">standard deviation subscript i P over standard deviation subscript </w:t>
      </w:r>
      <w:r w:rsidR="002772A8">
        <w:rPr>
          <w:noProof/>
        </w:rPr>
        <w:t xml:space="preserve">I times </w:t>
      </w:r>
      <w:r w:rsidR="002772A8" w:rsidRPr="007E7D5D">
        <w:rPr>
          <w:noProof/>
        </w:rPr>
        <w:t>standard deviation subscript P</w:t>
      </w:r>
      <w:r w:rsidR="002772A8">
        <w:rPr>
          <w:noProof/>
        </w:rPr>
        <w:t>.</w:t>
      </w:r>
    </w:p>
    <w:p w:rsidR="003E1FA0" w:rsidRPr="007E7D5D" w:rsidRDefault="003E1FA0" w:rsidP="003E1FA0">
      <w:pPr>
        <w:rPr>
          <w:noProof/>
        </w:rPr>
      </w:pPr>
    </w:p>
    <w:p w:rsidR="002772A8" w:rsidRPr="007E7D5D" w:rsidRDefault="00493AF1" w:rsidP="002772A8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t>Image Name: model.asset.alloc.approach.0121.slide.000</w:t>
      </w:r>
      <w:r w:rsidR="002772A8">
        <w:rPr>
          <w:noProof/>
        </w:rPr>
        <w:t>9</w:t>
      </w:r>
    </w:p>
    <w:p w:rsidR="002772A8" w:rsidRPr="007E7D5D" w:rsidRDefault="002772A8" w:rsidP="002772A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2772A8" w:rsidRPr="007E7D5D" w:rsidRDefault="002772A8" w:rsidP="002772A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2772A8" w:rsidRPr="007E7D5D" w:rsidRDefault="002772A8" w:rsidP="002772A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2772A8" w:rsidRPr="007E7D5D" w:rsidRDefault="002772A8" w:rsidP="002772A8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A8" w:rsidRPr="007E7D5D" w:rsidRDefault="002772A8" w:rsidP="002772A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2772A8" w:rsidRPr="007E7D5D" w:rsidRDefault="002772A8" w:rsidP="002772A8">
      <w:pPr>
        <w:rPr>
          <w:noProof/>
        </w:rPr>
      </w:pPr>
      <w:r w:rsidRPr="007E7D5D">
        <w:rPr>
          <w:noProof/>
        </w:rPr>
        <w:t>This slide has a heading, Factor Investing (Continued), followed by a subheading, a sentence and an equation. The subheading reads, For factors, Contribution of Factor. The sentence reads, Given the relationship R subscript P t equals a plus b subscript 1 times F subscript 1 t plus b subscript 2 times F subscript b 2 plus E subscript t, total portfolio risk can be decomposed using factors with, sigma subscript P. The equation reads, P subscript F 1 times sigma subscript F 1 times b subscript 1, Contribution of Factor 1 plus P subscript F 2 times sigma subscript F 2 times b subscript 2, Contribution of Factor 2 plus P subscript E times sigma subscript E, Contribution of Unknown Sources.</w:t>
      </w:r>
    </w:p>
    <w:p w:rsidR="006D4839" w:rsidRPr="007E7D5D" w:rsidRDefault="00493AF1" w:rsidP="006D4839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6D4839" w:rsidRPr="007E7D5D">
        <w:rPr>
          <w:noProof/>
        </w:rPr>
        <w:t>1</w:t>
      </w:r>
      <w:r w:rsidR="006D4839">
        <w:rPr>
          <w:noProof/>
        </w:rPr>
        <w:t>0</w:t>
      </w:r>
    </w:p>
    <w:p w:rsidR="006D4839" w:rsidRPr="007E7D5D" w:rsidRDefault="006D4839" w:rsidP="006D483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6D4839" w:rsidRPr="007E7D5D" w:rsidRDefault="006D4839" w:rsidP="006D483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2</w:t>
      </w:r>
    </w:p>
    <w:p w:rsidR="006D4839" w:rsidRPr="007E7D5D" w:rsidRDefault="006D4839" w:rsidP="006D483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6D4839" w:rsidRPr="007E7D5D" w:rsidRDefault="006D4839" w:rsidP="006D4839">
      <w:pPr>
        <w:rPr>
          <w:noProof/>
        </w:rPr>
      </w:pPr>
      <w:r>
        <w:rPr>
          <w:noProof/>
        </w:rPr>
        <w:drawing>
          <wp:inline distT="0" distB="0" distL="0" distR="0">
            <wp:extent cx="459105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39" w:rsidRPr="007E7D5D" w:rsidRDefault="006D4839" w:rsidP="006D483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6D4839" w:rsidRPr="007E7D5D" w:rsidRDefault="006D4839" w:rsidP="006D4839">
      <w:pPr>
        <w:rPr>
          <w:noProof/>
        </w:rPr>
      </w:pPr>
      <w:r w:rsidRPr="007E7D5D">
        <w:rPr>
          <w:noProof/>
        </w:rPr>
        <w:t>This slide has a heading, Factor Investing: An Example, followed by an equation and is as follows: Sigma subscript P equals P subscript F 1 times sigma subscript F 1 times b subscript 1, Contribution of Factor 1 plus P subscript F 2 times sigma subscript F 2 times b subscript 2, Contribution of Factor 2 plus P subscript E times sigma subscript E, Contribution of Unknown Sources.</w:t>
      </w: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6D4839">
        <w:rPr>
          <w:noProof/>
        </w:rPr>
        <w:t>11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484549" w:rsidP="003E1FA0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337CF1" w:rsidRPr="007E7D5D" w:rsidRDefault="00337CF1" w:rsidP="00337CF1">
      <w:pPr>
        <w:rPr>
          <w:noProof/>
        </w:rPr>
      </w:pPr>
      <w:r w:rsidRPr="007E7D5D">
        <w:rPr>
          <w:noProof/>
        </w:rPr>
        <w:t xml:space="preserve">This slide has a heading, Other Asset Allocation Approaches, followed by a subheading that reads, </w:t>
      </w:r>
      <w:r w:rsidR="00986BA6" w:rsidRPr="007E7D5D">
        <w:rPr>
          <w:noProof/>
        </w:rPr>
        <w:t>Part 2.</w:t>
      </w: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noProof/>
        </w:rPr>
      </w:pPr>
    </w:p>
    <w:p w:rsidR="003E1FA0" w:rsidRPr="007E7D5D" w:rsidRDefault="003E1FA0" w:rsidP="003E1FA0">
      <w:pPr>
        <w:spacing w:before="100" w:beforeAutospacing="1" w:after="100" w:afterAutospacing="1"/>
        <w:rPr>
          <w:b/>
          <w:bCs/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6D4839">
        <w:rPr>
          <w:noProof/>
        </w:rPr>
        <w:t>12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6D4839" w:rsidP="003E1FA0">
      <w:pPr>
        <w:rPr>
          <w:noProof/>
        </w:rPr>
      </w:pPr>
      <w:r>
        <w:rPr>
          <w:noProof/>
        </w:rPr>
        <w:drawing>
          <wp:inline distT="0" distB="0" distL="0" distR="0">
            <wp:extent cx="45815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6D4839" w:rsidRPr="007E7D5D" w:rsidRDefault="00986BA6" w:rsidP="006D4839">
      <w:pPr>
        <w:rPr>
          <w:noProof/>
        </w:rPr>
      </w:pPr>
      <w:r w:rsidRPr="007E7D5D">
        <w:rPr>
          <w:noProof/>
        </w:rPr>
        <w:t xml:space="preserve">This slide has a heading, </w:t>
      </w:r>
      <w:r w:rsidR="006D4839">
        <w:rPr>
          <w:noProof/>
        </w:rPr>
        <w:t>Risk Parity</w:t>
      </w:r>
      <w:r w:rsidRPr="007E7D5D">
        <w:rPr>
          <w:noProof/>
        </w:rPr>
        <w:t xml:space="preserve">, followed by a </w:t>
      </w:r>
      <w:r w:rsidR="006D4839" w:rsidRPr="007E7D5D">
        <w:rPr>
          <w:noProof/>
        </w:rPr>
        <w:t xml:space="preserve">table that has two columns. The column headings are: Weight and % Contribution to Total Risk and the data from the table are as follows: </w:t>
      </w:r>
    </w:p>
    <w:p w:rsidR="006D4839" w:rsidRPr="007E7D5D" w:rsidRDefault="006D4839" w:rsidP="006D4839">
      <w:pPr>
        <w:rPr>
          <w:noProof/>
        </w:rPr>
      </w:pPr>
      <w:r w:rsidRPr="007E7D5D">
        <w:rPr>
          <w:noProof/>
        </w:rPr>
        <w:t>Asset 1: Weight, 45%; % Contribution to Total Risk, .027 over .086 equals 31%;</w:t>
      </w:r>
    </w:p>
    <w:p w:rsidR="006D4839" w:rsidRPr="007E7D5D" w:rsidRDefault="006D4839" w:rsidP="006D4839">
      <w:pPr>
        <w:rPr>
          <w:noProof/>
        </w:rPr>
      </w:pPr>
      <w:r w:rsidRPr="007E7D5D">
        <w:rPr>
          <w:noProof/>
        </w:rPr>
        <w:t>Asset 2: Weight, 30%; % Contribution to Total Risk, .0276 over .086 equals 32%;</w:t>
      </w:r>
    </w:p>
    <w:p w:rsidR="006D4839" w:rsidRPr="007E7D5D" w:rsidRDefault="006D4839" w:rsidP="006D4839">
      <w:pPr>
        <w:rPr>
          <w:noProof/>
        </w:rPr>
      </w:pPr>
      <w:r w:rsidRPr="007E7D5D">
        <w:rPr>
          <w:noProof/>
        </w:rPr>
        <w:t>Asset 3: Weight, 25%; % Contribution to Total Risk, .0319 over .086 equals 37%.</w:t>
      </w:r>
    </w:p>
    <w:p w:rsidR="006D4839" w:rsidRDefault="006D4839" w:rsidP="00986BA6">
      <w:pPr>
        <w:rPr>
          <w:noProof/>
        </w:rPr>
      </w:pPr>
    </w:p>
    <w:p w:rsidR="006D4839" w:rsidRDefault="006D4839" w:rsidP="00986BA6">
      <w:pPr>
        <w:rPr>
          <w:noProof/>
        </w:rPr>
      </w:pPr>
    </w:p>
    <w:p w:rsidR="00986BA6" w:rsidRPr="007E7D5D" w:rsidRDefault="00986BA6" w:rsidP="00986BA6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3E1FA0" w:rsidRPr="007E7D5D">
        <w:rPr>
          <w:noProof/>
        </w:rPr>
        <w:t>1</w:t>
      </w:r>
      <w:r w:rsidR="006D4839">
        <w:rPr>
          <w:noProof/>
        </w:rPr>
        <w:t>3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6D4839" w:rsidP="003E1FA0">
      <w:pPr>
        <w:rPr>
          <w:noProof/>
        </w:rPr>
      </w:pPr>
      <w:r>
        <w:rPr>
          <w:noProof/>
        </w:rPr>
        <w:drawing>
          <wp:inline distT="0" distB="0" distL="0" distR="0">
            <wp:extent cx="463867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3F" w:rsidRPr="007E7D5D" w:rsidRDefault="003A553F" w:rsidP="002F3487">
      <w:pPr>
        <w:rPr>
          <w:noProof/>
        </w:rPr>
      </w:pPr>
    </w:p>
    <w:p w:rsidR="002F3487" w:rsidRPr="007E7D5D" w:rsidRDefault="00CA4548" w:rsidP="002F3487">
      <w:pPr>
        <w:rPr>
          <w:noProof/>
        </w:rPr>
      </w:pPr>
      <w:r>
        <w:t xml:space="preserve">This slide has a heading, Risk Parity, followed by a </w:t>
      </w:r>
      <w:proofErr w:type="gramStart"/>
      <w:r>
        <w:t>sentence, that</w:t>
      </w:r>
      <w:proofErr w:type="gramEnd"/>
      <w:r>
        <w:t xml:space="preserve"> reads: The returns of a risk parity portfolio has a standard deviation of 10%. A traditional portfolio offers an expected return of 9%, with a standard deviation of 17%. The riskless rate is 2%. What return must the risk-parity portfolio offer to be equally attractive as the traditional </w:t>
      </w:r>
      <w:proofErr w:type="spellStart"/>
      <w:r>
        <w:t>portiofolio</w:t>
      </w:r>
      <w:proofErr w:type="spellEnd"/>
      <w:r>
        <w:t>?</w:t>
      </w:r>
    </w:p>
    <w:p w:rsidR="002F3487" w:rsidRPr="007E7D5D" w:rsidRDefault="002F3487" w:rsidP="00D62014">
      <w:pPr>
        <w:rPr>
          <w:noProof/>
        </w:rPr>
      </w:pPr>
    </w:p>
    <w:p w:rsidR="00D62014" w:rsidRPr="007E7D5D" w:rsidRDefault="00D62014" w:rsidP="00D62014">
      <w:pPr>
        <w:rPr>
          <w:noProof/>
        </w:rPr>
      </w:pPr>
    </w:p>
    <w:p w:rsidR="003E1FA0" w:rsidRPr="007E7D5D" w:rsidRDefault="003E1FA0" w:rsidP="003E1FA0">
      <w:pPr>
        <w:rPr>
          <w:b/>
          <w:bCs/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CA4548">
        <w:rPr>
          <w:noProof/>
        </w:rPr>
        <w:t>14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CA4548" w:rsidP="003E1FA0">
      <w:pPr>
        <w:rPr>
          <w:noProof/>
        </w:rPr>
      </w:pPr>
      <w:r>
        <w:rPr>
          <w:noProof/>
        </w:rPr>
        <w:drawing>
          <wp:inline distT="0" distB="0" distL="0" distR="0">
            <wp:extent cx="46101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986BA6" w:rsidRPr="007E7D5D" w:rsidRDefault="00986BA6" w:rsidP="00986BA6">
      <w:pPr>
        <w:rPr>
          <w:noProof/>
        </w:rPr>
      </w:pPr>
      <w:r w:rsidRPr="007E7D5D">
        <w:rPr>
          <w:noProof/>
        </w:rPr>
        <w:t>This slide has a heading, Risk Parity</w:t>
      </w:r>
      <w:r w:rsidR="00CA4548">
        <w:rPr>
          <w:noProof/>
        </w:rPr>
        <w:t>: Economic Rationale</w:t>
      </w:r>
      <w:r w:rsidRPr="007E7D5D">
        <w:rPr>
          <w:noProof/>
        </w:rPr>
        <w:t>, followed by four sentences, that read</w:t>
      </w:r>
      <w:r w:rsidR="00D60706" w:rsidRPr="007E7D5D">
        <w:rPr>
          <w:noProof/>
        </w:rPr>
        <w:t>:</w:t>
      </w:r>
      <w:r w:rsidRPr="007E7D5D">
        <w:rPr>
          <w:noProof/>
        </w:rPr>
        <w:t xml:space="preserve"> Risk parity uses the results of risk budgeting to create portfolios in which each asset contributes the same amount to the total risk of the portfolio; Leverage aversion theory argues that large classes of investors cannot lever up low-volatility portfolios to generate attractive returns and that, as a result, low-volatility stocks and portfolios are underpriced; Volatility anomaly is the idea that low-volatility stocks are underpriced and therefore offer higher expected risk-adjusted returns; Betting against beta anomaly</w:t>
      </w:r>
      <w:r w:rsidRPr="007E7D5D">
        <w:rPr>
          <w:b/>
          <w:bCs/>
          <w:noProof/>
        </w:rPr>
        <w:t> </w:t>
      </w:r>
      <w:r w:rsidRPr="007E7D5D">
        <w:rPr>
          <w:noProof/>
        </w:rPr>
        <w:t>has documented that portfolios consisting of low-beta stocks have outperformed the market in the past. </w:t>
      </w:r>
    </w:p>
    <w:p w:rsidR="00986BA6" w:rsidRPr="007E7D5D" w:rsidRDefault="00986BA6" w:rsidP="00986BA6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CA4548">
        <w:rPr>
          <w:noProof/>
        </w:rPr>
        <w:t>15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CA4548" w:rsidP="003E1FA0">
      <w:pPr>
        <w:rPr>
          <w:noProof/>
        </w:rPr>
      </w:pPr>
      <w:r>
        <w:rPr>
          <w:noProof/>
        </w:rPr>
        <w:drawing>
          <wp:inline distT="0" distB="0" distL="0" distR="0">
            <wp:extent cx="45720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986BA6" w:rsidRPr="007E7D5D" w:rsidRDefault="00986BA6" w:rsidP="00986BA6">
      <w:pPr>
        <w:rPr>
          <w:noProof/>
        </w:rPr>
      </w:pPr>
      <w:r w:rsidRPr="007E7D5D">
        <w:rPr>
          <w:noProof/>
        </w:rPr>
        <w:t>This slide has a heading, Risk Parity, followed by a list: 1</w:t>
      </w:r>
      <w:r w:rsidR="00D60706" w:rsidRPr="007E7D5D">
        <w:rPr>
          <w:noProof/>
        </w:rPr>
        <w:t>,</w:t>
      </w:r>
      <w:r w:rsidRPr="007E7D5D">
        <w:rPr>
          <w:noProof/>
        </w:rPr>
        <w:t xml:space="preserve"> The approach’s historical performance is unlikely to continue in the future because low-volatility fixed-income securities no longer provide the yields they have in the past; 2</w:t>
      </w:r>
      <w:r w:rsidR="00D60706" w:rsidRPr="007E7D5D">
        <w:rPr>
          <w:noProof/>
        </w:rPr>
        <w:t>,</w:t>
      </w:r>
      <w:r w:rsidRPr="007E7D5D">
        <w:rPr>
          <w:noProof/>
        </w:rPr>
        <w:t xml:space="preserve"> Other risks may be introduced, such as funding liquidity risk, particularly when leverage is applied to the risk parity portfolios; and </w:t>
      </w:r>
      <w:r w:rsidR="00CA4548">
        <w:rPr>
          <w:noProof/>
        </w:rPr>
        <w:t>3</w:t>
      </w:r>
      <w:r w:rsidR="00D60706" w:rsidRPr="007E7D5D">
        <w:rPr>
          <w:noProof/>
        </w:rPr>
        <w:t>,</w:t>
      </w:r>
      <w:r w:rsidRPr="007E7D5D">
        <w:rPr>
          <w:noProof/>
        </w:rPr>
        <w:t xml:space="preserve"> The rationale that a risk parity approach can exploit anomalies in the alternative in</w:t>
      </w:r>
      <w:r w:rsidR="00CA4548">
        <w:rPr>
          <w:noProof/>
        </w:rPr>
        <w:t>vestment markets is unsupported; Suitability?</w:t>
      </w:r>
    </w:p>
    <w:p w:rsidR="00986BA6" w:rsidRPr="007E7D5D" w:rsidRDefault="00986BA6" w:rsidP="00986BA6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CA4548" w:rsidRPr="007E7D5D" w:rsidRDefault="00493AF1" w:rsidP="00CA4548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CA4548" w:rsidRPr="007E7D5D">
        <w:rPr>
          <w:noProof/>
        </w:rPr>
        <w:t>1</w:t>
      </w:r>
      <w:r w:rsidR="00CA4548">
        <w:rPr>
          <w:noProof/>
        </w:rPr>
        <w:t>6</w:t>
      </w:r>
    </w:p>
    <w:p w:rsidR="00CA4548" w:rsidRPr="007E7D5D" w:rsidRDefault="00CA4548" w:rsidP="00CA454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CA4548" w:rsidRPr="007E7D5D" w:rsidRDefault="00CA4548" w:rsidP="00CA454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CA4548" w:rsidRPr="007E7D5D" w:rsidRDefault="00CA4548" w:rsidP="00CA454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CA4548" w:rsidRPr="007E7D5D" w:rsidRDefault="0019526C" w:rsidP="00CA4548">
      <w:pPr>
        <w:rPr>
          <w:noProof/>
        </w:rPr>
      </w:pPr>
      <w:r>
        <w:rPr>
          <w:noProof/>
        </w:rPr>
        <w:drawing>
          <wp:inline distT="0" distB="0" distL="0" distR="0">
            <wp:extent cx="4572000" cy="260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48" w:rsidRPr="007E7D5D" w:rsidRDefault="00CA4548" w:rsidP="00CA4548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CA4548" w:rsidRPr="007E7D5D" w:rsidRDefault="00CA4548" w:rsidP="00CA4548">
      <w:pPr>
        <w:rPr>
          <w:noProof/>
        </w:rPr>
      </w:pPr>
      <w:r w:rsidRPr="007E7D5D">
        <w:rPr>
          <w:noProof/>
        </w:rPr>
        <w:t xml:space="preserve">This slide has a heading, Other Quantitative Portfolio Allocation Strategies, followed by </w:t>
      </w:r>
      <w:r w:rsidR="0019526C">
        <w:rPr>
          <w:noProof/>
        </w:rPr>
        <w:t>four</w:t>
      </w:r>
      <w:r w:rsidRPr="007E7D5D">
        <w:rPr>
          <w:noProof/>
        </w:rPr>
        <w:t xml:space="preserve"> subheadings and a list. The subheadings are: </w:t>
      </w:r>
      <w:r w:rsidR="0019526C">
        <w:rPr>
          <w:noProof/>
        </w:rPr>
        <w:t xml:space="preserve">Market-weighted strategies; Equally weighted strategies; </w:t>
      </w:r>
      <w:r w:rsidRPr="007E7D5D">
        <w:rPr>
          <w:noProof/>
        </w:rPr>
        <w:t>Inverse-volatility strategies; Minimum volatility portfolios. The list titled, Factor-based risk allocation, is as follows: Not sustainable; Extreme positions; Can be costly; and Factors often bundled.</w:t>
      </w:r>
    </w:p>
    <w:p w:rsidR="003E1FA0" w:rsidRPr="007E7D5D" w:rsidRDefault="00493AF1" w:rsidP="003E1FA0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CA4548">
        <w:rPr>
          <w:noProof/>
        </w:rPr>
        <w:t>16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3E1FA0" w:rsidRPr="007E7D5D" w:rsidRDefault="0019526C" w:rsidP="003E1FA0">
      <w:pPr>
        <w:rPr>
          <w:noProof/>
        </w:rPr>
      </w:pPr>
      <w:r>
        <w:rPr>
          <w:noProof/>
        </w:rPr>
        <w:drawing>
          <wp:inline distT="0" distB="0" distL="0" distR="0">
            <wp:extent cx="4600575" cy="2619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A0" w:rsidRPr="007E7D5D" w:rsidRDefault="003E1FA0" w:rsidP="003E1FA0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F400BF" w:rsidRPr="007E7D5D" w:rsidRDefault="00986BA6" w:rsidP="00F400BF">
      <w:pPr>
        <w:rPr>
          <w:noProof/>
        </w:rPr>
      </w:pPr>
      <w:r w:rsidRPr="007E7D5D">
        <w:rPr>
          <w:noProof/>
        </w:rPr>
        <w:t xml:space="preserve">This slide has a heading, Risk Parity: Additional Approaches, followed by a table. The table </w:t>
      </w:r>
      <w:r w:rsidR="00F400BF" w:rsidRPr="007E7D5D">
        <w:rPr>
          <w:noProof/>
        </w:rPr>
        <w:t>has t</w:t>
      </w:r>
      <w:r w:rsidR="0019526C">
        <w:rPr>
          <w:noProof/>
        </w:rPr>
        <w:t>wo</w:t>
      </w:r>
      <w:r w:rsidR="00F400BF" w:rsidRPr="007E7D5D">
        <w:rPr>
          <w:noProof/>
        </w:rPr>
        <w:t xml:space="preserve"> columns and three rows. The column headings are: Asset Weights; Risk Contributions</w:t>
      </w:r>
      <w:r w:rsidR="00C063C1" w:rsidRPr="007E7D5D">
        <w:rPr>
          <w:noProof/>
        </w:rPr>
        <w:t xml:space="preserve">. </w:t>
      </w:r>
      <w:r w:rsidR="0019526C">
        <w:rPr>
          <w:noProof/>
        </w:rPr>
        <w:t xml:space="preserve">The row headers are: Risk Parity; </w:t>
      </w:r>
      <w:r w:rsidR="0019526C" w:rsidRPr="007E7D5D">
        <w:rPr>
          <w:noProof/>
        </w:rPr>
        <w:t xml:space="preserve">Inverse-Volatility Weighted </w:t>
      </w:r>
      <w:r w:rsidR="0019526C">
        <w:rPr>
          <w:noProof/>
        </w:rPr>
        <w:t>; and Equally Weighted. All the rows and columns are blank.</w:t>
      </w:r>
      <w:r w:rsidR="00F400BF" w:rsidRPr="007E7D5D">
        <w:rPr>
          <w:noProof/>
        </w:rPr>
        <w:t xml:space="preserve"> </w:t>
      </w:r>
    </w:p>
    <w:p w:rsidR="00986BA6" w:rsidRPr="007E7D5D" w:rsidRDefault="00986BA6" w:rsidP="00986BA6">
      <w:pPr>
        <w:rPr>
          <w:noProof/>
        </w:rPr>
      </w:pPr>
    </w:p>
    <w:p w:rsidR="00C71139" w:rsidRPr="007E7D5D" w:rsidRDefault="00C71139" w:rsidP="00C71139">
      <w:pPr>
        <w:rPr>
          <w:noProof/>
        </w:rPr>
      </w:pPr>
    </w:p>
    <w:p w:rsidR="00A47CF3" w:rsidRPr="007E7D5D" w:rsidRDefault="00A47CF3" w:rsidP="00A47CF3">
      <w:pPr>
        <w:rPr>
          <w:noProof/>
        </w:rPr>
      </w:pPr>
    </w:p>
    <w:p w:rsidR="003E1FA0" w:rsidRPr="007E7D5D" w:rsidRDefault="003E1FA0" w:rsidP="003E1FA0">
      <w:pPr>
        <w:rPr>
          <w:noProof/>
        </w:rPr>
      </w:pPr>
    </w:p>
    <w:p w:rsidR="00484549" w:rsidRPr="007E7D5D" w:rsidRDefault="00484549" w:rsidP="003E1FA0">
      <w:pPr>
        <w:rPr>
          <w:noProof/>
        </w:rPr>
      </w:pPr>
    </w:p>
    <w:p w:rsidR="00484549" w:rsidRPr="007E7D5D" w:rsidRDefault="00484549" w:rsidP="003E1FA0">
      <w:pPr>
        <w:rPr>
          <w:noProof/>
        </w:rPr>
      </w:pPr>
    </w:p>
    <w:p w:rsidR="00484549" w:rsidRPr="007E7D5D" w:rsidRDefault="00484549" w:rsidP="003E1FA0">
      <w:pPr>
        <w:rPr>
          <w:noProof/>
        </w:rPr>
      </w:pPr>
    </w:p>
    <w:p w:rsidR="0019526C" w:rsidRPr="007E7D5D" w:rsidRDefault="00493AF1" w:rsidP="0019526C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19526C" w:rsidRPr="007E7D5D">
        <w:rPr>
          <w:noProof/>
        </w:rPr>
        <w:t>1</w:t>
      </w:r>
      <w:r w:rsidR="0019526C">
        <w:rPr>
          <w:noProof/>
        </w:rPr>
        <w:t>8</w:t>
      </w:r>
    </w:p>
    <w:p w:rsidR="0019526C" w:rsidRPr="007E7D5D" w:rsidRDefault="0019526C" w:rsidP="0019526C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19526C" w:rsidRPr="007E7D5D" w:rsidRDefault="0019526C" w:rsidP="0019526C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19526C" w:rsidRPr="007E7D5D" w:rsidRDefault="0019526C" w:rsidP="0019526C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19526C" w:rsidRDefault="0019526C" w:rsidP="00484549">
      <w:pPr>
        <w:pStyle w:val="Heading3"/>
        <w:spacing w:before="100" w:beforeAutospacing="1" w:after="100" w:afterAutospacing="1"/>
        <w:rPr>
          <w:noProof/>
        </w:rPr>
      </w:pPr>
    </w:p>
    <w:p w:rsidR="0019526C" w:rsidRDefault="0019526C" w:rsidP="00484549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drawing>
          <wp:inline distT="0" distB="0" distL="0" distR="0">
            <wp:extent cx="4562475" cy="2581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C" w:rsidRDefault="0019526C" w:rsidP="0019526C">
      <w:pPr>
        <w:rPr>
          <w:noProof/>
        </w:rPr>
      </w:pPr>
      <w:r w:rsidRPr="007E7D5D">
        <w:rPr>
          <w:noProof/>
        </w:rPr>
        <w:t xml:space="preserve">This slide has a heading, </w:t>
      </w:r>
      <w:r>
        <w:rPr>
          <w:noProof/>
        </w:rPr>
        <w:t>Stretegy Equivalence</w:t>
      </w:r>
      <w:r w:rsidRPr="007E7D5D">
        <w:rPr>
          <w:noProof/>
        </w:rPr>
        <w:t>, followed by a table. The table has t</w:t>
      </w:r>
      <w:r>
        <w:rPr>
          <w:noProof/>
        </w:rPr>
        <w:t>wo</w:t>
      </w:r>
      <w:r w:rsidRPr="007E7D5D">
        <w:rPr>
          <w:noProof/>
        </w:rPr>
        <w:t xml:space="preserve"> columns and t</w:t>
      </w:r>
      <w:r>
        <w:rPr>
          <w:noProof/>
        </w:rPr>
        <w:t>wo</w:t>
      </w:r>
      <w:r w:rsidRPr="007E7D5D">
        <w:rPr>
          <w:noProof/>
        </w:rPr>
        <w:t xml:space="preserve"> rows. The column headings are: </w:t>
      </w:r>
      <w:r>
        <w:rPr>
          <w:noProof/>
        </w:rPr>
        <w:t>Equally volatile assets</w:t>
      </w:r>
      <w:r w:rsidRPr="007E7D5D">
        <w:rPr>
          <w:noProof/>
        </w:rPr>
        <w:t xml:space="preserve">; </w:t>
      </w:r>
      <w:r>
        <w:rPr>
          <w:noProof/>
        </w:rPr>
        <w:t>Unequally volatile assets</w:t>
      </w:r>
      <w:r w:rsidRPr="007E7D5D">
        <w:rPr>
          <w:noProof/>
        </w:rPr>
        <w:t xml:space="preserve">. </w:t>
      </w:r>
      <w:r>
        <w:rPr>
          <w:noProof/>
        </w:rPr>
        <w:t>The row headers are: Equal return correlations; and unequal return correlations. All the rows and columns are blank.</w:t>
      </w:r>
      <w:r w:rsidRPr="007E7D5D">
        <w:rPr>
          <w:noProof/>
        </w:rPr>
        <w:t xml:space="preserve"> </w:t>
      </w:r>
    </w:p>
    <w:p w:rsidR="00484549" w:rsidRPr="007E7D5D" w:rsidRDefault="00493AF1" w:rsidP="00484549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model.asset.alloc.approach.0121</w:t>
      </w:r>
      <w:r w:rsidR="00124FC5">
        <w:rPr>
          <w:noProof/>
        </w:rPr>
        <w:t>.slide.0</w:t>
      </w:r>
      <w:r>
        <w:rPr>
          <w:noProof/>
        </w:rPr>
        <w:t>0</w:t>
      </w:r>
      <w:r w:rsidR="00484549" w:rsidRPr="007E7D5D">
        <w:rPr>
          <w:noProof/>
        </w:rPr>
        <w:t>19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484549" w:rsidRPr="007E7D5D" w:rsidRDefault="00484549" w:rsidP="00484549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C063C1" w:rsidRPr="007E7D5D" w:rsidRDefault="00C063C1" w:rsidP="00C063C1">
      <w:pPr>
        <w:rPr>
          <w:noProof/>
        </w:rPr>
      </w:pPr>
      <w:r w:rsidRPr="007E7D5D">
        <w:rPr>
          <w:noProof/>
        </w:rPr>
        <w:t xml:space="preserve">This slide has a heading, New Investment Model, followed by a subheading that reads, Separation of alpha and beta. </w:t>
      </w:r>
    </w:p>
    <w:p w:rsidR="00484549" w:rsidRPr="007E7D5D" w:rsidRDefault="00484549" w:rsidP="003E1FA0">
      <w:pPr>
        <w:rPr>
          <w:noProof/>
        </w:rPr>
      </w:pPr>
    </w:p>
    <w:p w:rsidR="003E1FA0" w:rsidRPr="007E7D5D" w:rsidRDefault="003E1FA0">
      <w:pPr>
        <w:rPr>
          <w:noProof/>
        </w:rPr>
      </w:pPr>
    </w:p>
    <w:p w:rsidR="00484549" w:rsidRPr="007E7D5D" w:rsidRDefault="00484549">
      <w:pPr>
        <w:rPr>
          <w:noProof/>
        </w:rPr>
      </w:pPr>
    </w:p>
    <w:p w:rsidR="00484549" w:rsidRPr="007E7D5D" w:rsidRDefault="00484549">
      <w:pPr>
        <w:rPr>
          <w:noProof/>
        </w:rPr>
      </w:pPr>
    </w:p>
    <w:p w:rsidR="00484549" w:rsidRPr="007E7D5D" w:rsidRDefault="00484549">
      <w:pPr>
        <w:rPr>
          <w:noProof/>
        </w:rPr>
      </w:pPr>
    </w:p>
    <w:p w:rsidR="00484549" w:rsidRPr="007E7D5D" w:rsidRDefault="00484549">
      <w:pPr>
        <w:rPr>
          <w:noProof/>
        </w:rPr>
      </w:pPr>
    </w:p>
    <w:p w:rsidR="00484549" w:rsidRPr="007E7D5D" w:rsidRDefault="00484549">
      <w:pPr>
        <w:rPr>
          <w:noProof/>
        </w:rPr>
      </w:pPr>
    </w:p>
    <w:p w:rsidR="00484549" w:rsidRPr="007E7D5D" w:rsidRDefault="00493AF1" w:rsidP="00484549">
      <w:pPr>
        <w:pStyle w:val="Heading3"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Image Name: model.as</w:t>
      </w:r>
      <w:r w:rsidR="00124FC5">
        <w:rPr>
          <w:noProof/>
        </w:rPr>
        <w:t>set.alloc.approach.0121.slide.0</w:t>
      </w:r>
      <w:r>
        <w:rPr>
          <w:noProof/>
        </w:rPr>
        <w:t>0</w:t>
      </w:r>
      <w:r w:rsidR="00484549" w:rsidRPr="007E7D5D">
        <w:rPr>
          <w:noProof/>
        </w:rPr>
        <w:t>20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Figure ID: Unnumbered Figure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 Complexity: 1</w:t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Image Thumbnail:</w:t>
      </w:r>
    </w:p>
    <w:p w:rsidR="00484549" w:rsidRPr="007E7D5D" w:rsidRDefault="00484549" w:rsidP="00484549">
      <w:pPr>
        <w:rPr>
          <w:noProof/>
        </w:rPr>
      </w:pPr>
      <w:r w:rsidRPr="007E7D5D">
        <w:rPr>
          <w:noProof/>
        </w:rPr>
        <w:drawing>
          <wp:inline distT="0" distB="0" distL="0" distR="0">
            <wp:extent cx="5715000" cy="3219450"/>
            <wp:effectExtent l="0" t="0" r="0" b="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49" w:rsidRPr="007E7D5D" w:rsidRDefault="00484549" w:rsidP="00484549">
      <w:pPr>
        <w:pStyle w:val="Heading3"/>
        <w:spacing w:before="100" w:beforeAutospacing="1" w:after="100" w:afterAutospacing="1"/>
        <w:rPr>
          <w:noProof/>
        </w:rPr>
      </w:pPr>
      <w:r w:rsidRPr="007E7D5D">
        <w:rPr>
          <w:noProof/>
        </w:rPr>
        <w:t>Alt-Text:</w:t>
      </w:r>
    </w:p>
    <w:p w:rsidR="00C063C1" w:rsidRPr="007E7D5D" w:rsidRDefault="00C063C1" w:rsidP="00C063C1">
      <w:pPr>
        <w:rPr>
          <w:noProof/>
        </w:rPr>
      </w:pPr>
      <w:r w:rsidRPr="007E7D5D">
        <w:rPr>
          <w:noProof/>
        </w:rPr>
        <w:t>This slide has a heading, Conclusions, followed by a list and is as follows: The core-satellite approach; Top-down and bottom-up asset allocation approaches; Risk budgeting; Factor-based implementations of a risk budgeting approach; Risk parity; Other quantitative portfolio allocation strategies; and New investment model.</w:t>
      </w:r>
    </w:p>
    <w:p w:rsidR="00484549" w:rsidRPr="007E7D5D" w:rsidRDefault="00484549">
      <w:pPr>
        <w:rPr>
          <w:noProof/>
        </w:rPr>
      </w:pPr>
      <w:bookmarkStart w:id="0" w:name="_GoBack"/>
      <w:bookmarkEnd w:id="0"/>
    </w:p>
    <w:sectPr w:rsidR="00484549" w:rsidRPr="007E7D5D" w:rsidSect="00833BC4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21C7" w:rsidRDefault="00D721C7">
      <w:pPr>
        <w:spacing w:after="0" w:line="240" w:lineRule="auto"/>
      </w:pPr>
      <w:r>
        <w:separator/>
      </w:r>
    </w:p>
  </w:endnote>
  <w:endnote w:type="continuationSeparator" w:id="0">
    <w:p w:rsidR="00D721C7" w:rsidRDefault="00D72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960273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A4548" w:rsidRPr="00674581" w:rsidRDefault="00484CAC" w:rsidP="00833BC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484CAC">
          <w:fldChar w:fldCharType="begin"/>
        </w:r>
        <w:r w:rsidR="00CA4548">
          <w:instrText xml:space="preserve"> PAGE   \* MERGEFORMAT </w:instrText>
        </w:r>
        <w:r w:rsidRPr="00484CAC">
          <w:fldChar w:fldCharType="separate"/>
        </w:r>
        <w:r w:rsidR="00124FC5" w:rsidRPr="00124FC5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CA4548">
          <w:rPr>
            <w:b/>
            <w:bCs/>
          </w:rPr>
          <w:t xml:space="preserve"> | </w:t>
        </w:r>
        <w:r w:rsidR="00CA4548"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21C7" w:rsidRDefault="00D721C7">
      <w:pPr>
        <w:spacing w:after="0" w:line="240" w:lineRule="auto"/>
      </w:pPr>
      <w:r>
        <w:separator/>
      </w:r>
    </w:p>
  </w:footnote>
  <w:footnote w:type="continuationSeparator" w:id="0">
    <w:p w:rsidR="00D721C7" w:rsidRDefault="00D721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548" w:rsidRDefault="00CA454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66675</wp:posOffset>
          </wp:positionH>
          <wp:positionV relativeFrom="paragraph">
            <wp:posOffset>-447675</wp:posOffset>
          </wp:positionV>
          <wp:extent cx="1971675" cy="819150"/>
          <wp:effectExtent l="0" t="0" r="9525" b="0"/>
          <wp:wrapThrough wrapText="bothSides">
            <wp:wrapPolygon edited="0">
              <wp:start x="0" y="0"/>
              <wp:lineTo x="0" y="21098"/>
              <wp:lineTo x="21496" y="21098"/>
              <wp:lineTo x="21496" y="0"/>
              <wp:lineTo x="0" y="0"/>
            </wp:wrapPolygon>
          </wp:wrapThrough>
          <wp:docPr id="1" name="Picture 1" descr="Image result for lumina datamatics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Image result for lumina datamatics logo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13114" t="18996" r="13516" b="22659"/>
                  <a:stretch/>
                </pic:blipFill>
                <pic:spPr bwMode="auto">
                  <a:xfrm>
                    <a:off x="0" y="0"/>
                    <a:ext cx="1971675" cy="8191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F27FB4"/>
    <w:multiLevelType w:val="hybridMultilevel"/>
    <w:tmpl w:val="FD2AFE1E"/>
    <w:lvl w:ilvl="0" w:tplc="74CE8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107B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1CD87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F63E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444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64DC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2F7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AE11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ACB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58B57A6"/>
    <w:multiLevelType w:val="hybridMultilevel"/>
    <w:tmpl w:val="63AAC694"/>
    <w:lvl w:ilvl="0" w:tplc="A808C7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9EE2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A0D4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2252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9C0A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1802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B286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0481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FC62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CD27E8C"/>
    <w:multiLevelType w:val="hybridMultilevel"/>
    <w:tmpl w:val="495263E0"/>
    <w:lvl w:ilvl="0" w:tplc="E7DEDB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66F6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9CFB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403D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943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4D6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F83B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903D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C84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4D4908"/>
    <w:multiLevelType w:val="hybridMultilevel"/>
    <w:tmpl w:val="F24E593A"/>
    <w:lvl w:ilvl="0" w:tplc="7F9032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6EF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90A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8B0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84D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AE8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A4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46E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069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BA64BDF"/>
    <w:multiLevelType w:val="hybridMultilevel"/>
    <w:tmpl w:val="FC6AFCB4"/>
    <w:lvl w:ilvl="0" w:tplc="154C62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86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343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CB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E48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B0E1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DEA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A2DC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FC0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72404EEA"/>
    <w:multiLevelType w:val="hybridMultilevel"/>
    <w:tmpl w:val="540E2714"/>
    <w:lvl w:ilvl="0" w:tplc="A0EC2A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0209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9A9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9EB6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D47E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16A0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444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6CA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DE5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1FA0"/>
    <w:rsid w:val="00062C4D"/>
    <w:rsid w:val="000B7C02"/>
    <w:rsid w:val="00124FC5"/>
    <w:rsid w:val="00146CD1"/>
    <w:rsid w:val="0019526C"/>
    <w:rsid w:val="002772A8"/>
    <w:rsid w:val="002F3487"/>
    <w:rsid w:val="0030028F"/>
    <w:rsid w:val="00337CF1"/>
    <w:rsid w:val="003A553F"/>
    <w:rsid w:val="003E1FA0"/>
    <w:rsid w:val="00484549"/>
    <w:rsid w:val="00484CAC"/>
    <w:rsid w:val="00493AF1"/>
    <w:rsid w:val="00560445"/>
    <w:rsid w:val="005715F7"/>
    <w:rsid w:val="005B7825"/>
    <w:rsid w:val="0061508E"/>
    <w:rsid w:val="00617197"/>
    <w:rsid w:val="006D4839"/>
    <w:rsid w:val="006F0DC7"/>
    <w:rsid w:val="00702028"/>
    <w:rsid w:val="007164C7"/>
    <w:rsid w:val="007E7D5D"/>
    <w:rsid w:val="00825709"/>
    <w:rsid w:val="00833BC4"/>
    <w:rsid w:val="00842635"/>
    <w:rsid w:val="00893774"/>
    <w:rsid w:val="008D49BC"/>
    <w:rsid w:val="009541C0"/>
    <w:rsid w:val="00986BA6"/>
    <w:rsid w:val="009B0D6A"/>
    <w:rsid w:val="00A47CF3"/>
    <w:rsid w:val="00C063C1"/>
    <w:rsid w:val="00C167F5"/>
    <w:rsid w:val="00C71139"/>
    <w:rsid w:val="00C93FD0"/>
    <w:rsid w:val="00CA4548"/>
    <w:rsid w:val="00D3594D"/>
    <w:rsid w:val="00D60706"/>
    <w:rsid w:val="00D62014"/>
    <w:rsid w:val="00D721C7"/>
    <w:rsid w:val="00F276B2"/>
    <w:rsid w:val="00F400BF"/>
    <w:rsid w:val="00FA69B5"/>
    <w:rsid w:val="00FB5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FA0"/>
    <w:pPr>
      <w:spacing w:after="200" w:line="276" w:lineRule="auto"/>
    </w:pPr>
    <w:rPr>
      <w:rFonts w:eastAsiaTheme="minorEastAsia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F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1FA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E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FA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FA0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560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6044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06"/>
    <w:rPr>
      <w:rFonts w:ascii="Tahoma" w:eastAsiaTheme="minorEastAsi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FA0"/>
    <w:pPr>
      <w:spacing w:after="200" w:line="276" w:lineRule="auto"/>
    </w:pPr>
    <w:rPr>
      <w:rFonts w:eastAsiaTheme="minorEastAsia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F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1FA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E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FA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FA0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560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6044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06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3540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37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5545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558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368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021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1060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495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434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59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644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690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9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91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490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28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779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407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7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1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0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808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485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093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2.png"/><Relationship Id="rId47" Type="http://schemas.openxmlformats.org/officeDocument/2006/relationships/image" Target="media/image40.sv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10.svg"/><Relationship Id="rId33" Type="http://schemas.openxmlformats.org/officeDocument/2006/relationships/image" Target="media/image11.png"/><Relationship Id="rId25" Type="http://schemas.openxmlformats.org/officeDocument/2006/relationships/image" Target="media/image18.sv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38.svg"/><Relationship Id="rId5" Type="http://schemas.openxmlformats.org/officeDocument/2006/relationships/footnotes" Target="footnotes.xml"/><Relationship Id="rId15" Type="http://schemas.openxmlformats.org/officeDocument/2006/relationships/image" Target="media/image8.svg"/><Relationship Id="rId36" Type="http://schemas.openxmlformats.org/officeDocument/2006/relationships/image" Target="media/image14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52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35" Type="http://schemas.openxmlformats.org/officeDocument/2006/relationships/image" Target="media/image13.png"/><Relationship Id="rId4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1802</Words>
  <Characters>10277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shachi gupta</dc:creator>
  <cp:lastModifiedBy>ritikroshan</cp:lastModifiedBy>
  <cp:revision>3</cp:revision>
  <dcterms:created xsi:type="dcterms:W3CDTF">2021-02-13T07:33:00Z</dcterms:created>
  <dcterms:modified xsi:type="dcterms:W3CDTF">2021-02-13T07:33:00Z</dcterms:modified>
</cp:coreProperties>
</file>