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BACE1: why inhibitors failed, and whether PPI is the next bet</w:t>
      </w:r>
    </w:p>
    <w:p>
      <w:pPr>
        <w:pStyle w:val="Author"/>
      </w:pPr>
      <w:r>
        <w:t xml:space="preserve">BACE1_Discovery canvas (print of all tabs)</w:t>
      </w:r>
    </w:p>
    <w:p>
      <w:pPr>
        <w:pStyle w:val="Date"/>
      </w:pPr>
      <w:r>
        <w:t xml:space="preserve">2026-09-18</w:t>
      </w:r>
    </w:p>
    <w:p>
      <w:pPr>
        <w:pStyle w:val="FirstParagraph"/>
      </w:pPr>
      <w:r>
        <w:t xml:space="preserve">Peptides died on pharmacokinetics. Small molecules died after they worked: they lowered CSF amyloid 50–90% and still failed Phase 2/3, often with early cognitive worsening. A generic BACE1 PPI recreates that mechanism. An APP-selective interface strategy does not — if you can prove it.</w:t>
      </w:r>
    </w:p>
    <w:p>
      <w:pPr>
        <w:pStyle w:val="BodyText"/>
      </w:pPr>
      <w:r>
        <w:rPr>
          <w:b/>
          <w:bCs/>
        </w:rPr>
        <w:t xml:space="preserve">Verdict.</w:t>
      </w:r>
      <w:r>
        <w:t xml:space="preserve"> </w:t>
      </w:r>
      <w:r>
        <w:t xml:space="preserve">Do not pick a generic BACE1 protein–protein interaction as the primary thesis. Choose APP–BACE1 substrate-selective disruption only if you can spare SEZ6, NRG1, CHL1 and gp130, aim for ~30% Aβ lowering (Icelandic APP A673T range), and position the asset as prevention or combination with an anti-Aβ antibody — not as symptomatic monotherapy.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 BACE1 drugs, all stopped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 BACE1 inhibitors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CSF Aβ lowering with no clinical benefit</w:t>
            </w:r>
          </w:p>
        </w:tc>
        <w:tc>
          <w:tcPr/>
          <w:p>
            <w:pPr>
              <w:pStyle w:val="Compact"/>
            </w:pPr>
            <w:r>
              <w:t xml:space="preserve">50–90%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Protective Aβ cut (APP A673T, in vitro ~40%)</w:t>
            </w:r>
          </w:p>
        </w:tc>
        <w:tc>
          <w:tcPr/>
          <w:p>
            <w:pPr>
              <w:pStyle w:val="Compact"/>
            </w:pPr>
            <w:r>
              <w:t xml:space="preserve">~30% TPP band</w:t>
            </w:r>
          </w:p>
        </w:tc>
      </w:tr>
    </w:tbl>
    <w:bookmarkStart w:id="10" w:name="where-they-failed"/>
    <w:p>
      <w:pPr>
        <w:pStyle w:val="Heading1"/>
      </w:pPr>
      <w:r>
        <w:t xml:space="preserve">1. Where they failed</w:t>
      </w:r>
    </w:p>
    <w:p>
      <w:pPr>
        <w:pStyle w:val="FirstParagraph"/>
      </w:pPr>
      <w:r>
        <w:rPr>
          <w:b/>
          <w:bCs/>
        </w:rPr>
        <w:t xml:space="preserve">Peptides / peptidomimetics (preclinical → Phase 1).</w:t>
      </w:r>
      <w:r>
        <w:t xml:space="preserve"> </w:t>
      </w:r>
      <w:r>
        <w:t xml:space="preserve">Failed as drugs, not as enzyme blockers. OM99-2 (Ki ~1.6 nM) and KMI-429 were potent transition-state mimics: too large, hydrophilic, metabolically unstable, P-gp substrates, poorly brain-penetrant. CTS-21166 reached Phase 1 (2007–08), cut plasma Aβ ~80%, then never advanced.</w:t>
      </w:r>
    </w:p>
    <w:p>
      <w:pPr>
        <w:pStyle w:val="BodyText"/>
      </w:pPr>
      <w:r>
        <w:rPr>
          <w:b/>
          <w:bCs/>
        </w:rPr>
        <w:t xml:space="preserve">Small-molecule active-site inhibitors (Phase 1 → Phase 3).</w:t>
      </w:r>
      <w:r>
        <w:t xml:space="preserve"> </w:t>
      </w:r>
      <w:r>
        <w:t xml:space="preserve">Oral CNS delivery was solved. Late programs engaged the target, then failed from compound organ toxicity (Phase 1/2) and mechanism-based cognitive harm plus futility (Phase 2/3). Hair-color change (BACE2/PMEL), weight loss, psychiatric events, and MRI volume loss tracked across scaffolds — a class effect.</w:t>
      </w:r>
    </w:p>
    <w:bookmarkStart w:id="9" w:name="clinical-attrition"/>
    <w:p>
      <w:pPr>
        <w:pStyle w:val="Heading2"/>
      </w:pPr>
      <w:r>
        <w:t xml:space="preserve">Clinical attrition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Last stage</w:t>
            </w:r>
          </w:p>
        </w:tc>
        <w:tc>
          <w:tcPr/>
          <w:p>
            <w:pPr>
              <w:pStyle w:val="Compact"/>
            </w:pPr>
            <w:r>
              <w:t xml:space="preserve">Population</w:t>
            </w:r>
          </w:p>
        </w:tc>
        <w:tc>
          <w:tcPr/>
          <w:p>
            <w:pPr>
              <w:pStyle w:val="Compact"/>
            </w:pPr>
            <w:r>
              <w:t xml:space="preserve">Why it stopped</w:t>
            </w:r>
          </w:p>
        </w:tc>
        <w:tc>
          <w:tcPr/>
          <w:p>
            <w:pPr>
              <w:pStyle w:val="Compact"/>
            </w:pPr>
            <w:r>
              <w:t xml:space="preserve">Primary 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OM99-2</w:t>
            </w:r>
          </w:p>
        </w:tc>
        <w:tc>
          <w:tcPr/>
          <w:p>
            <w:pPr>
              <w:pStyle w:val="Compact"/>
            </w:pPr>
            <w:r>
              <w:t xml:space="preserve">Octapeptide isostere</w:t>
            </w:r>
          </w:p>
        </w:tc>
        <w:tc>
          <w:tcPr/>
          <w:p>
            <w:pPr>
              <w:pStyle w:val="Compact"/>
            </w:pPr>
            <w:r>
              <w:t xml:space="preserve">Preclinical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MW 893; no oral/BBB; CatD Ki 48 nM</w:t>
            </w:r>
          </w:p>
        </w:tc>
        <w:tc>
          <w:tcPr/>
          <w:p>
            <w:pPr>
              <w:pStyle w:val="Compact"/>
            </w:pPr>
            <w:r>
              <w:t xml:space="preserve">Ghosh 2000; Hong 2000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KMI-429</w:t>
            </w:r>
          </w:p>
        </w:tc>
        <w:tc>
          <w:tcPr/>
          <w:p>
            <w:pPr>
              <w:pStyle w:val="Compact"/>
            </w:pPr>
            <w:r>
              <w:t xml:space="preserve">Peptidomimetic</w:t>
            </w:r>
          </w:p>
        </w:tc>
        <w:tc>
          <w:tcPr/>
          <w:p>
            <w:pPr>
              <w:pStyle w:val="Compact"/>
            </w:pPr>
            <w:r>
              <w:t xml:space="preserve">Preclinical</w:t>
            </w:r>
          </w:p>
        </w:tc>
        <w:tc>
          <w:tcPr/>
          <w:p>
            <w:pPr>
              <w:pStyle w:val="Compact"/>
            </w:pPr>
            <w:r>
              <w:t xml:space="preserve">Mouse Aβ lowering</w:t>
            </w:r>
          </w:p>
        </w:tc>
        <w:tc>
          <w:tcPr/>
          <w:p>
            <w:pPr>
              <w:pStyle w:val="Compact"/>
            </w:pPr>
            <w:r>
              <w:t xml:space="preserve">Acidic P4/P1′; poor BBB</w:t>
            </w:r>
          </w:p>
        </w:tc>
        <w:tc>
          <w:tcPr/>
          <w:p>
            <w:pPr>
              <w:pStyle w:val="Compact"/>
            </w:pPr>
            <w:r>
              <w:t xml:space="preserve">Kimura 2004; Asai 2006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CTS-21166</w:t>
            </w:r>
          </w:p>
        </w:tc>
        <w:tc>
          <w:tcPr/>
          <w:p>
            <w:pPr>
              <w:pStyle w:val="Compact"/>
            </w:pPr>
            <w:r>
              <w:t xml:space="preserve">Hydroxyethylamine</w:t>
            </w:r>
          </w:p>
        </w:tc>
        <w:tc>
          <w:tcPr/>
          <w:p>
            <w:pPr>
              <w:pStyle w:val="Compact"/>
            </w:pPr>
            <w:r>
              <w:t xml:space="preserve">Phase 1 (2008)</w:t>
            </w:r>
          </w:p>
        </w:tc>
        <w:tc>
          <w:tcPr/>
          <w:p>
            <w:pPr>
              <w:pStyle w:val="Compact"/>
            </w:pPr>
            <w:r>
              <w:t xml:space="preserve">Healthy volunteers</w:t>
            </w:r>
          </w:p>
        </w:tc>
        <w:tc>
          <w:tcPr/>
          <w:p>
            <w:pPr>
              <w:pStyle w:val="Compact"/>
            </w:pPr>
            <w:r>
              <w:t xml:space="preserve">Plasma Aβ −80%; no Phase 2</w:t>
            </w:r>
          </w:p>
        </w:tc>
        <w:tc>
          <w:tcPr/>
          <w:p>
            <w:pPr>
              <w:pStyle w:val="Compact"/>
            </w:pPr>
            <w:r>
              <w:t xml:space="preserve">NCT00621010; Alzforum 2008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LY2811376</w:t>
            </w:r>
          </w:p>
        </w:tc>
        <w:tc>
          <w:tcPr/>
          <w:p>
            <w:pPr>
              <w:pStyle w:val="Compact"/>
            </w:pPr>
            <w:r>
              <w:t xml:space="preserve">Small molecule</w:t>
            </w:r>
          </w:p>
        </w:tc>
        <w:tc>
          <w:tcPr/>
          <w:p>
            <w:pPr>
              <w:pStyle w:val="Compact"/>
            </w:pPr>
            <w:r>
              <w:t xml:space="preserve">Phase 1 (2011)</w:t>
            </w:r>
          </w:p>
        </w:tc>
        <w:tc>
          <w:tcPr/>
          <w:p>
            <w:pPr>
              <w:pStyle w:val="Compact"/>
            </w:pPr>
            <w:r>
              <w:t xml:space="preserve">Healthy / AD</w:t>
            </w:r>
          </w:p>
        </w:tc>
        <w:tc>
          <w:tcPr/>
          <w:p>
            <w:pPr>
              <w:pStyle w:val="Compact"/>
            </w:pPr>
            <w:r>
              <w:t xml:space="preserve">Retinal toxicity (CatD)</w:t>
            </w:r>
          </w:p>
        </w:tc>
        <w:tc>
          <w:tcPr/>
          <w:p>
            <w:pPr>
              <w:pStyle w:val="Compact"/>
            </w:pPr>
            <w:r>
              <w:t xml:space="preserve">May 2011; Zuhl 2016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LY2886721</w:t>
            </w:r>
          </w:p>
        </w:tc>
        <w:tc>
          <w:tcPr/>
          <w:p>
            <w:pPr>
              <w:pStyle w:val="Compact"/>
            </w:pPr>
            <w:r>
              <w:t xml:space="preserve">Small molecule</w:t>
            </w:r>
          </w:p>
        </w:tc>
        <w:tc>
          <w:tcPr/>
          <w:p>
            <w:pPr>
              <w:pStyle w:val="Compact"/>
            </w:pPr>
            <w:r>
              <w:t xml:space="preserve">Phase 2 (2013)</w:t>
            </w:r>
          </w:p>
        </w:tc>
        <w:tc>
          <w:tcPr/>
          <w:p>
            <w:pPr>
              <w:pStyle w:val="Compact"/>
            </w:pPr>
            <w:r>
              <w:t xml:space="preserve">MCI / mild AD</w:t>
            </w:r>
          </w:p>
        </w:tc>
        <w:tc>
          <w:tcPr/>
          <w:p>
            <w:pPr>
              <w:pStyle w:val="Compact"/>
            </w:pPr>
            <w:r>
              <w:t xml:space="preserve">Liver enzymes 4/70; Lilly: not BACE mechanism</w:t>
            </w:r>
          </w:p>
        </w:tc>
        <w:tc>
          <w:tcPr/>
          <w:p>
            <w:pPr>
              <w:pStyle w:val="Compact"/>
            </w:pPr>
            <w:r>
              <w:t xml:space="preserve">May 2015; Lilly 2013 PR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RG7129</w:t>
            </w:r>
          </w:p>
        </w:tc>
        <w:tc>
          <w:tcPr/>
          <w:p>
            <w:pPr>
              <w:pStyle w:val="Compact"/>
            </w:pPr>
            <w:r>
              <w:t xml:space="preserve">Small molecule</w:t>
            </w:r>
          </w:p>
        </w:tc>
        <w:tc>
          <w:tcPr/>
          <w:p>
            <w:pPr>
              <w:pStyle w:val="Compact"/>
            </w:pPr>
            <w:r>
              <w:t xml:space="preserve">Phase 1 (2013)</w:t>
            </w:r>
          </w:p>
        </w:tc>
        <w:tc>
          <w:tcPr/>
          <w:p>
            <w:pPr>
              <w:pStyle w:val="Compact"/>
            </w:pPr>
            <w:r>
              <w:t xml:space="preserve">Healthy</w:t>
            </w:r>
          </w:p>
        </w:tc>
        <w:tc>
          <w:tcPr/>
          <w:p>
            <w:pPr>
              <w:pStyle w:val="Compact"/>
            </w:pPr>
            <w:r>
              <w:t xml:space="preserve">Roche stopped; liver toxicity reported (unofficial)</w:t>
            </w:r>
          </w:p>
        </w:tc>
        <w:tc>
          <w:tcPr/>
          <w:p>
            <w:pPr>
              <w:pStyle w:val="Compact"/>
            </w:pPr>
            <w:r>
              <w:t xml:space="preserve">Alzforum; FierceBiotech 2014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Verubecestat EPOCH</w:t>
            </w:r>
          </w:p>
        </w:tc>
        <w:tc>
          <w:tcPr/>
          <w:p>
            <w:pPr>
              <w:pStyle w:val="Compact"/>
            </w:pPr>
            <w:r>
              <w:t xml:space="preserve">Small molecule</w:t>
            </w:r>
          </w:p>
        </w:tc>
        <w:tc>
          <w:tcPr/>
          <w:p>
            <w:pPr>
              <w:pStyle w:val="Compact"/>
            </w:pPr>
            <w:r>
              <w:t xml:space="preserve">Phase 3 (2017)</w:t>
            </w:r>
          </w:p>
        </w:tc>
        <w:tc>
          <w:tcPr/>
          <w:p>
            <w:pPr>
              <w:pStyle w:val="Compact"/>
            </w:pPr>
            <w:r>
              <w:t xml:space="preserve">Mild–moderate AD</w:t>
            </w:r>
          </w:p>
        </w:tc>
        <w:tc>
          <w:tcPr/>
          <w:p>
            <w:pPr>
              <w:pStyle w:val="Compact"/>
            </w:pPr>
            <w:r>
              <w:t xml:space="preserve">Futility; CSF Aβ −63 to −81%; early cognitive dip</w:t>
            </w:r>
          </w:p>
        </w:tc>
        <w:tc>
          <w:tcPr/>
          <w:p>
            <w:pPr>
              <w:pStyle w:val="Compact"/>
            </w:pPr>
            <w:r>
              <w:t xml:space="preserve">Kennedy 2016; Egan 2018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Verubecestat APECS</w:t>
            </w:r>
          </w:p>
        </w:tc>
        <w:tc>
          <w:tcPr/>
          <w:p>
            <w:pPr>
              <w:pStyle w:val="Compact"/>
            </w:pPr>
            <w:r>
              <w:t xml:space="preserve">Small molecule</w:t>
            </w:r>
          </w:p>
        </w:tc>
        <w:tc>
          <w:tcPr/>
          <w:p>
            <w:pPr>
              <w:pStyle w:val="Compact"/>
            </w:pPr>
            <w:r>
              <w:t xml:space="preserve">Phase 3 (2018)</w:t>
            </w:r>
          </w:p>
        </w:tc>
        <w:tc>
          <w:tcPr/>
          <w:p>
            <w:pPr>
              <w:pStyle w:val="Compact"/>
            </w:pPr>
            <w:r>
              <w:t xml:space="preserve">Prodromal AD, amyloid+</w:t>
            </w:r>
          </w:p>
        </w:tc>
        <w:tc>
          <w:tcPr/>
          <w:p>
            <w:pPr>
              <w:pStyle w:val="Compact"/>
            </w:pPr>
            <w:r>
              <w:t xml:space="preserve">Futility + worse cognition and function</w:t>
            </w:r>
          </w:p>
        </w:tc>
        <w:tc>
          <w:tcPr/>
          <w:p>
            <w:pPr>
              <w:pStyle w:val="Compact"/>
            </w:pPr>
            <w:r>
              <w:t xml:space="preserve">Egan 2019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Lanabecestat</w:t>
            </w:r>
          </w:p>
        </w:tc>
        <w:tc>
          <w:tcPr/>
          <w:p>
            <w:pPr>
              <w:pStyle w:val="Compact"/>
            </w:pPr>
            <w:r>
              <w:t xml:space="preserve">Small molecule</w:t>
            </w:r>
          </w:p>
        </w:tc>
        <w:tc>
          <w:tcPr/>
          <w:p>
            <w:pPr>
              <w:pStyle w:val="Compact"/>
            </w:pPr>
            <w:r>
              <w:t xml:space="preserve">Phase 3 (2018)</w:t>
            </w:r>
          </w:p>
        </w:tc>
        <w:tc>
          <w:tcPr/>
          <w:p>
            <w:pPr>
              <w:pStyle w:val="Compact"/>
            </w:pPr>
            <w:r>
              <w:t xml:space="preserve">Early / mild AD</w:t>
            </w:r>
          </w:p>
        </w:tc>
        <w:tc>
          <w:tcPr/>
          <w:p>
            <w:pPr>
              <w:pStyle w:val="Compact"/>
            </w:pPr>
            <w:r>
              <w:t xml:space="preserve">Futility; psych AEs, weight, hair, volume loss</w:t>
            </w:r>
          </w:p>
        </w:tc>
        <w:tc>
          <w:tcPr/>
          <w:p>
            <w:pPr>
              <w:pStyle w:val="Compact"/>
            </w:pPr>
            <w:r>
              <w:t xml:space="preserve">Wessels 2020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Atabecestat EARLY</w:t>
            </w:r>
          </w:p>
        </w:tc>
        <w:tc>
          <w:tcPr/>
          <w:p>
            <w:pPr>
              <w:pStyle w:val="Compact"/>
            </w:pPr>
            <w:r>
              <w:t xml:space="preserve">Small molecule</w:t>
            </w:r>
          </w:p>
        </w:tc>
        <w:tc>
          <w:tcPr/>
          <w:p>
            <w:pPr>
              <w:pStyle w:val="Compact"/>
            </w:pPr>
            <w:r>
              <w:t xml:space="preserve">Phase 2b/3 (2018)</w:t>
            </w:r>
          </w:p>
        </w:tc>
        <w:tc>
          <w:tcPr/>
          <w:p>
            <w:pPr>
              <w:pStyle w:val="Compact"/>
            </w:pPr>
            <w:r>
              <w:t xml:space="preserve">Preclinical amyloid+</w:t>
            </w:r>
          </w:p>
        </w:tc>
        <w:tc>
          <w:tcPr/>
          <w:p>
            <w:pPr>
              <w:pStyle w:val="Compact"/>
            </w:pPr>
            <w:r>
              <w:t xml:space="preserve">Hepatotoxicity (11% ALT/AST &gt;3× ULN) + cognitive worsening</w:t>
            </w:r>
          </w:p>
        </w:tc>
        <w:tc>
          <w:tcPr/>
          <w:p>
            <w:pPr>
              <w:pStyle w:val="Compact"/>
            </w:pPr>
            <w:r>
              <w:t xml:space="preserve">Henley 2019; Sperling 2021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Umibecestat Generation</w:t>
            </w:r>
          </w:p>
        </w:tc>
        <w:tc>
          <w:tcPr/>
          <w:p>
            <w:pPr>
              <w:pStyle w:val="Compact"/>
            </w:pPr>
            <w:r>
              <w:t xml:space="preserve">Small molecule (BACE1-selective)</w:t>
            </w:r>
          </w:p>
        </w:tc>
        <w:tc>
          <w:tcPr/>
          <w:p>
            <w:pPr>
              <w:pStyle w:val="Compact"/>
            </w:pPr>
            <w:r>
              <w:t xml:space="preserve">Phase 2/3 (2019)</w:t>
            </w:r>
          </w:p>
        </w:tc>
        <w:tc>
          <w:tcPr/>
          <w:p>
            <w:pPr>
              <w:pStyle w:val="Compact"/>
            </w:pPr>
            <w:r>
              <w:t xml:space="preserve">APOE4 prevention</w:t>
            </w:r>
          </w:p>
        </w:tc>
        <w:tc>
          <w:tcPr/>
          <w:p>
            <w:pPr>
              <w:pStyle w:val="Compact"/>
            </w:pPr>
            <w:r>
              <w:t xml:space="preserve">Early cognitive worsening; reversible after washout</w:t>
            </w:r>
          </w:p>
        </w:tc>
        <w:tc>
          <w:tcPr/>
          <w:p>
            <w:pPr>
              <w:pStyle w:val="Compact"/>
            </w:pPr>
            <w:r>
              <w:t xml:space="preserve">Amgen 2019; Tariot 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Elenbecestat MISSION AD</w:t>
            </w:r>
          </w:p>
        </w:tc>
        <w:tc>
          <w:tcPr/>
          <w:p>
            <w:pPr>
              <w:pStyle w:val="Compact"/>
            </w:pPr>
            <w:r>
              <w:t xml:space="preserve">Small molecule</w:t>
            </w:r>
          </w:p>
        </w:tc>
        <w:tc>
          <w:tcPr/>
          <w:p>
            <w:pPr>
              <w:pStyle w:val="Compact"/>
            </w:pPr>
            <w:r>
              <w:t xml:space="preserve">Phase 3 (2019)</w:t>
            </w:r>
          </w:p>
        </w:tc>
        <w:tc>
          <w:tcPr/>
          <w:p>
            <w:pPr>
              <w:pStyle w:val="Compact"/>
            </w:pPr>
            <w:r>
              <w:t xml:space="preserve">Early AD</w:t>
            </w:r>
          </w:p>
        </w:tc>
        <w:tc>
          <w:tcPr/>
          <w:p>
            <w:pPr>
              <w:pStyle w:val="Compact"/>
            </w:pPr>
            <w:r>
              <w:t xml:space="preserve">DSMB: unfavorable risk–benefit; no efficacy signal</w:t>
            </w:r>
          </w:p>
        </w:tc>
        <w:tc>
          <w:tcPr/>
          <w:p>
            <w:pPr>
              <w:pStyle w:val="Compact"/>
            </w:pPr>
            <w:r>
              <w:t xml:space="preserve">Eisai 2019; NCT02956486</w:t>
            </w:r>
          </w:p>
        </w:tc>
      </w:tr>
    </w:tbl>
    <w:p>
      <w:pPr>
        <w:pStyle w:val="BodyText"/>
      </w:pPr>
      <w:r>
        <w:t xml:space="preserve">Peptides never tested the amyloid hypothesis in patients. Small molecules did — and disproved high-level catalytic blockade as treatment for symptomatic or even prodromal AD.</w:t>
      </w:r>
    </w:p>
    <w:bookmarkEnd w:id="9"/>
    <w:bookmarkEnd w:id="10"/>
    <w:bookmarkStart w:id="11" w:name="why-biology-killed-them"/>
    <w:p>
      <w:pPr>
        <w:pStyle w:val="Heading1"/>
      </w:pPr>
      <w:r>
        <w:t xml:space="preserve">2. Why biology killed them</w:t>
      </w:r>
    </w:p>
    <w:p>
      <w:pPr>
        <w:pStyle w:val="FirstParagraph"/>
      </w:pPr>
      <w:r>
        <w:t xml:space="preserve">Late BACE1 inhibitors were pharmacologically successful. CSF Aβ fell 50–90%. Clinical scores did not. In prodromal and prevention studies, cognition moved the wrong way within weeks to months — too fast to be failed amyloid clearance.</w:t>
      </w:r>
    </w:p>
    <w:p>
      <w:pPr>
        <w:pStyle w:val="BodyText"/>
      </w:pPr>
      <w:r>
        <w:t xml:space="preserve">Approximate CSF / production Aβ reduction: APP A673T ~30–40% (lifetime, Jonsson 2012 ~40% in vitro); verubecestat 12 mg ~63%; 40 mg ~81% (Kennedy 2016 PD range); typical Phase 3 dose ~75%.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Substrate</w:t>
            </w:r>
          </w:p>
        </w:tc>
        <w:tc>
          <w:tcPr/>
          <w:p>
            <w:pPr>
              <w:pStyle w:val="Compact"/>
            </w:pPr>
            <w:r>
              <w:t xml:space="preserve">Function at risk</w:t>
            </w:r>
          </w:p>
        </w:tc>
        <w:tc>
          <w:tcPr/>
          <w:p>
            <w:pPr>
              <w:pStyle w:val="Compact"/>
            </w:pPr>
            <w:r>
              <w:t xml:space="preserve">Key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SEZ6</w:t>
            </w:r>
          </w:p>
        </w:tc>
        <w:tc>
          <w:tcPr/>
          <w:p>
            <w:pPr>
              <w:pStyle w:val="Compact"/>
            </w:pPr>
            <w:r>
              <w:t xml:space="preserve">Dendritic spines, LTP</w:t>
            </w:r>
          </w:p>
        </w:tc>
        <w:tc>
          <w:tcPr/>
          <w:p>
            <w:pPr>
              <w:pStyle w:val="Compact"/>
            </w:pPr>
            <w:r>
              <w:t xml:space="preserve">Pigoni 2016; Pratsch 2023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CHL1 / L1</w:t>
            </w:r>
          </w:p>
        </w:tc>
        <w:tc>
          <w:tcPr/>
          <w:p>
            <w:pPr>
              <w:pStyle w:val="Compact"/>
            </w:pPr>
            <w:r>
              <w:t xml:space="preserve">Axon guidance, plasticity</w:t>
            </w:r>
          </w:p>
        </w:tc>
        <w:tc>
          <w:tcPr/>
          <w:p>
            <w:pPr>
              <w:pStyle w:val="Compact"/>
            </w:pPr>
            <w:r>
              <w:t xml:space="preserve">Kuhn 2012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NRG1</w:t>
            </w:r>
          </w:p>
        </w:tc>
        <w:tc>
          <w:tcPr/>
          <w:p>
            <w:pPr>
              <w:pStyle w:val="Compact"/>
            </w:pPr>
            <w:r>
              <w:t xml:space="preserve">Myelination, ErbB</w:t>
            </w:r>
          </w:p>
        </w:tc>
        <w:tc>
          <w:tcPr/>
          <w:p>
            <w:pPr>
              <w:pStyle w:val="Compact"/>
            </w:pPr>
            <w:r>
              <w:t xml:space="preserve">Willem 2006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gp130</w:t>
            </w:r>
          </w:p>
        </w:tc>
        <w:tc>
          <w:tcPr/>
          <w:p>
            <w:pPr>
              <w:pStyle w:val="Compact"/>
            </w:pPr>
            <w:r>
              <w:t xml:space="preserve">Neuronal IL-6 buffering</w:t>
            </w:r>
          </w:p>
        </w:tc>
        <w:tc>
          <w:tcPr/>
          <w:p>
            <w:pPr>
              <w:pStyle w:val="Compact"/>
            </w:pPr>
            <w:r>
              <w:t xml:space="preserve">Kuhn 2012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Jagged1</w:t>
            </w:r>
          </w:p>
        </w:tc>
        <w:tc>
          <w:tcPr/>
          <w:p>
            <w:pPr>
              <w:pStyle w:val="Compact"/>
            </w:pPr>
            <w:r>
              <w:t xml:space="preserve">Notch-related</w:t>
            </w:r>
          </w:p>
        </w:tc>
        <w:tc>
          <w:tcPr/>
          <w:p>
            <w:pPr>
              <w:pStyle w:val="Compact"/>
            </w:pPr>
            <w:r>
              <w:t xml:space="preserve">Kuhn 2012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BACE2 (off-target)</w:t>
            </w:r>
          </w:p>
        </w:tc>
        <w:tc>
          <w:tcPr/>
          <w:p>
            <w:pPr>
              <w:pStyle w:val="Compact"/>
            </w:pPr>
            <w:r>
              <w:t xml:space="preserve">Hair pigment (PMEL)</w:t>
            </w:r>
          </w:p>
        </w:tc>
        <w:tc>
          <w:tcPr/>
          <w:p>
            <w:pPr>
              <w:pStyle w:val="Compact"/>
            </w:pPr>
            <w:r>
              <w:t xml:space="preserve">Rochin 2013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Cathepsin D (off-target)</w:t>
            </w:r>
          </w:p>
        </w:tc>
        <w:tc>
          <w:tcPr/>
          <w:p>
            <w:pPr>
              <w:pStyle w:val="Compact"/>
            </w:pPr>
            <w:r>
              <w:t xml:space="preserve">Retina / lysosome</w:t>
            </w:r>
          </w:p>
        </w:tc>
        <w:tc>
          <w:tcPr/>
          <w:p>
            <w:pPr>
              <w:pStyle w:val="Compact"/>
            </w:pPr>
            <w:r>
              <w:t xml:space="preserve">Zuhl 2016</w:t>
            </w:r>
          </w:p>
        </w:tc>
      </w:tr>
    </w:tbl>
    <w:p>
      <w:pPr>
        <w:pStyle w:val="BodyText"/>
      </w:pPr>
      <w:r>
        <w:rPr>
          <w:b/>
          <w:bCs/>
        </w:rPr>
        <w:t xml:space="preserve">Three failure layers.</w:t>
      </w:r>
      <w:r>
        <w:t xml:space="preserve"> </w:t>
      </w:r>
      <w:r>
        <w:t xml:space="preserve">(1) Too much inhibition (70–90% BACE loss; spine loss tracks sSEZ6, not scaffold; umibecestat was BACE1-preferring and still worsened cognition). (2) Wrong job for the stage (production brake does not clear plaques; antibodies do). (3) Compound toxicity on top (liver, retina/CatD, skin).</w:t>
      </w:r>
    </w:p>
    <w:p>
      <w:pPr>
        <w:pStyle w:val="BodyText"/>
      </w:pPr>
      <w:r>
        <w:t xml:space="preserve">Umibecestat cognitive dip largely reversed after washout (Tariot 2025). EPOCH week-13 ADAS-Cog dip (Egan 2018).</w:t>
      </w:r>
    </w:p>
    <w:bookmarkEnd w:id="11"/>
    <w:bookmarkStart w:id="12" w:name="ppi-decision"/>
    <w:p>
      <w:pPr>
        <w:pStyle w:val="Heading1"/>
      </w:pPr>
      <w:r>
        <w:t xml:space="preserve">3. PPI decision</w:t>
      </w:r>
    </w:p>
    <w:p>
      <w:pPr>
        <w:pStyle w:val="FirstParagraph"/>
      </w:pPr>
      <w:r>
        <w:t xml:space="preserve">Only if the PPI is the APP–BACE1 recognition interface, as substrate-selective partial modulation. An exosite antibody that shuts BACE1 for every substrate is verubecestat biology with worse CNS delivery.</w:t>
      </w:r>
    </w:p>
    <w:p>
      <w:pPr>
        <w:pStyle w:val="BodyText"/>
      </w:pPr>
      <w:r>
        <w:rPr>
          <w:b/>
          <w:bCs/>
        </w:rPr>
        <w:t xml:space="preserve">Do this:</w:t>
      </w:r>
      <w:r>
        <w:t xml:space="preserve"> </w:t>
      </w:r>
      <w:r>
        <w:t xml:space="preserve">APP-selective BACE1 inhibition (ASBI). FAH65 / FAH65E(−) (Campagna 2025): APP IC50 far below NRG1/PSGL1; little CatD/BACE2; brain exposure; NOR in mice. Still preclinical. Design goal 20–40% Aβ, CSF SEZ6/sNRG1 unchanged, combo with anti-Aβ mAb.</w:t>
      </w:r>
    </w:p>
    <w:p>
      <w:pPr>
        <w:pStyle w:val="BodyText"/>
      </w:pPr>
      <w:r>
        <w:rPr>
          <w:b/>
          <w:bCs/>
        </w:rPr>
        <w:t xml:space="preserve">Do not do this:</w:t>
      </w:r>
      <w:r>
        <w:t xml:space="preserve"> </w:t>
      </w:r>
      <w:r>
        <w:t xml:space="preserve">Generic BACE1 PPI / catalytic exosite block. Atwal 2011 / PDB 3R1G: BACE2/CatD-selective but still inhibits BACE1 toward APP. BBB needed a TfR shuttle (Yu 2011), later used for Aβ antibodies, not a clinical BACE1 drug.</w:t>
      </w:r>
    </w:p>
    <w:p>
      <w:pPr>
        <w:pStyle w:val="BodyText"/>
      </w:pPr>
      <w:r>
        <w:t xml:space="preserve">Go/no-go: substrate panel must spare SEZ6/NRG1/CHL1/gp130; inhibition ceiling 20–50% in vivo without spine/LTP loss; oral CNS or real BBB shuttle; prevention or mAb add-on, not monotherapy in mild–moderate AD.</w:t>
      </w:r>
    </w:p>
    <w:bookmarkEnd w:id="12"/>
    <w:bookmarkStart w:id="39" w:name="references"/>
    <w:p>
      <w:pPr>
        <w:pStyle w:val="Heading1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Ghosh AK, et al. </w:t>
      </w:r>
      <w:r>
        <w:rPr>
          <w:i/>
          <w:iCs/>
        </w:rPr>
        <w:t xml:space="preserve">J Am Chem Soc.</w:t>
      </w:r>
      <w:r>
        <w:t xml:space="preserve"> </w:t>
      </w:r>
      <w:r>
        <w:t xml:space="preserve">2000;122:3522–3523.</w:t>
      </w:r>
      <w:r>
        <w:t xml:space="preserve"> </w:t>
      </w:r>
      <w:hyperlink r:id="rId13">
        <w:r>
          <w:rPr>
            <w:rStyle w:val="Hyperlink"/>
          </w:rPr>
          <w:t xml:space="preserve">doi:10.1021/ja000300g</w:t>
        </w:r>
      </w:hyperlink>
    </w:p>
    <w:p>
      <w:pPr>
        <w:pStyle w:val="Compact"/>
        <w:numPr>
          <w:ilvl w:val="0"/>
          <w:numId w:val="1001"/>
        </w:numPr>
      </w:pPr>
      <w:r>
        <w:t xml:space="preserve">Hong L, et al. </w:t>
      </w:r>
      <w:r>
        <w:rPr>
          <w:i/>
          <w:iCs/>
        </w:rPr>
        <w:t xml:space="preserve">Science.</w:t>
      </w:r>
      <w:r>
        <w:t xml:space="preserve"> </w:t>
      </w:r>
      <w:r>
        <w:t xml:space="preserve">2000;290:150–153.</w:t>
      </w:r>
      <w:r>
        <w:t xml:space="preserve"> </w:t>
      </w:r>
      <w:hyperlink r:id="rId14">
        <w:r>
          <w:rPr>
            <w:rStyle w:val="Hyperlink"/>
          </w:rPr>
          <w:t xml:space="preserve">doi:10.1126/science.290.5489.150</w:t>
        </w:r>
      </w:hyperlink>
    </w:p>
    <w:p>
      <w:pPr>
        <w:pStyle w:val="Compact"/>
        <w:numPr>
          <w:ilvl w:val="0"/>
          <w:numId w:val="1001"/>
        </w:numPr>
      </w:pPr>
      <w:r>
        <w:t xml:space="preserve">Kimura T, et al. </w:t>
      </w:r>
      <w:r>
        <w:rPr>
          <w:i/>
          <w:iCs/>
        </w:rPr>
        <w:t xml:space="preserve">Bioorg Med Chem Lett.</w:t>
      </w:r>
      <w:r>
        <w:t xml:space="preserve"> </w:t>
      </w:r>
      <w:r>
        <w:t xml:space="preserve">2005;15:211–215.</w:t>
      </w:r>
      <w:r>
        <w:t xml:space="preserve"> </w:t>
      </w:r>
      <w:hyperlink r:id="rId15">
        <w:r>
          <w:rPr>
            <w:rStyle w:val="Hyperlink"/>
          </w:rPr>
          <w:t xml:space="preserve">doi:10.1016/j.bmcl.2004.09.090</w:t>
        </w:r>
      </w:hyperlink>
    </w:p>
    <w:p>
      <w:pPr>
        <w:pStyle w:val="Compact"/>
        <w:numPr>
          <w:ilvl w:val="0"/>
          <w:numId w:val="1001"/>
        </w:numPr>
      </w:pPr>
      <w:r>
        <w:t xml:space="preserve">Asai M, et al. </w:t>
      </w:r>
      <w:r>
        <w:rPr>
          <w:i/>
          <w:iCs/>
        </w:rPr>
        <w:t xml:space="preserve">J Neurochem.</w:t>
      </w:r>
      <w:r>
        <w:t xml:space="preserve"> </w:t>
      </w:r>
      <w:r>
        <w:t xml:space="preserve">2006;96:533–540.</w:t>
      </w:r>
      <w:r>
        <w:t xml:space="preserve"> </w:t>
      </w:r>
      <w:hyperlink r:id="rId16">
        <w:r>
          <w:rPr>
            <w:rStyle w:val="Hyperlink"/>
          </w:rPr>
          <w:t xml:space="preserve">doi:10.1111/j.1471-4159.2005.03576.x</w:t>
        </w:r>
      </w:hyperlink>
    </w:p>
    <w:p>
      <w:pPr>
        <w:pStyle w:val="Compact"/>
        <w:numPr>
          <w:ilvl w:val="0"/>
          <w:numId w:val="1001"/>
        </w:numPr>
      </w:pPr>
      <w:r>
        <w:t xml:space="preserve">NCT00621010; Alzforum Keystone 2008 (CTS-21166, plasma Aβ up to ~80%).</w:t>
      </w:r>
    </w:p>
    <w:p>
      <w:pPr>
        <w:pStyle w:val="Compact"/>
        <w:numPr>
          <w:ilvl w:val="0"/>
          <w:numId w:val="1001"/>
        </w:numPr>
      </w:pPr>
      <w:r>
        <w:t xml:space="preserve">May PC, et al. </w:t>
      </w:r>
      <w:r>
        <w:rPr>
          <w:i/>
          <w:iCs/>
        </w:rPr>
        <w:t xml:space="preserve">J Neurosci.</w:t>
      </w:r>
      <w:r>
        <w:t xml:space="preserve"> </w:t>
      </w:r>
      <w:r>
        <w:t xml:space="preserve">2011;31:16507–16516.</w:t>
      </w:r>
      <w:r>
        <w:t xml:space="preserve"> </w:t>
      </w:r>
      <w:hyperlink r:id="rId17">
        <w:r>
          <w:rPr>
            <w:rStyle w:val="Hyperlink"/>
          </w:rPr>
          <w:t xml:space="preserve">doi:10.1523/JNEUROSCI.3647-11.2011</w:t>
        </w:r>
      </w:hyperlink>
    </w:p>
    <w:p>
      <w:pPr>
        <w:pStyle w:val="Compact"/>
        <w:numPr>
          <w:ilvl w:val="0"/>
          <w:numId w:val="1001"/>
        </w:numPr>
      </w:pPr>
      <w:r>
        <w:t xml:space="preserve">Zuhl AM, et al. </w:t>
      </w:r>
      <w:r>
        <w:rPr>
          <w:i/>
          <w:iCs/>
        </w:rPr>
        <w:t xml:space="preserve">Nat Commun.</w:t>
      </w:r>
      <w:r>
        <w:t xml:space="preserve"> </w:t>
      </w:r>
      <w:r>
        <w:t xml:space="preserve">2016;7:13042.</w:t>
      </w:r>
      <w:r>
        <w:t xml:space="preserve"> </w:t>
      </w:r>
      <w:hyperlink r:id="rId18">
        <w:r>
          <w:rPr>
            <w:rStyle w:val="Hyperlink"/>
          </w:rPr>
          <w:t xml:space="preserve">doi:10.1038/ncomms13042</w:t>
        </w:r>
      </w:hyperlink>
    </w:p>
    <w:p>
      <w:pPr>
        <w:pStyle w:val="Compact"/>
        <w:numPr>
          <w:ilvl w:val="0"/>
          <w:numId w:val="1001"/>
        </w:numPr>
      </w:pPr>
      <w:r>
        <w:t xml:space="preserve">May PC, et al. </w:t>
      </w:r>
      <w:r>
        <w:rPr>
          <w:i/>
          <w:iCs/>
        </w:rPr>
        <w:t xml:space="preserve">J Neurosci.</w:t>
      </w:r>
      <w:r>
        <w:t xml:space="preserve"> </w:t>
      </w:r>
      <w:r>
        <w:t xml:space="preserve">2015;35:1199–1210.</w:t>
      </w:r>
      <w:r>
        <w:t xml:space="preserve"> </w:t>
      </w:r>
      <w:hyperlink r:id="rId19">
        <w:r>
          <w:rPr>
            <w:rStyle w:val="Hyperlink"/>
          </w:rPr>
          <w:t xml:space="preserve">doi:10.1523/JNEUROSCI.4129-14.2015</w:t>
        </w:r>
      </w:hyperlink>
    </w:p>
    <w:p>
      <w:pPr>
        <w:pStyle w:val="Compact"/>
        <w:numPr>
          <w:ilvl w:val="0"/>
          <w:numId w:val="1001"/>
        </w:numPr>
      </w:pPr>
      <w:r>
        <w:t xml:space="preserve">Eli Lilly press release, 13 Jun 2013 (LY2886721; liver tests not attributed to BACE).</w:t>
      </w:r>
    </w:p>
    <w:p>
      <w:pPr>
        <w:pStyle w:val="Compact"/>
        <w:numPr>
          <w:ilvl w:val="0"/>
          <w:numId w:val="1001"/>
        </w:numPr>
      </w:pPr>
      <w:r>
        <w:t xml:space="preserve">Alzforum RG7129; FierceBiotech 2014. Roche issued no official liver-toxicity CSR.</w:t>
      </w:r>
    </w:p>
    <w:p>
      <w:pPr>
        <w:pStyle w:val="Compact"/>
        <w:numPr>
          <w:ilvl w:val="0"/>
          <w:numId w:val="1001"/>
        </w:numPr>
      </w:pPr>
      <w:r>
        <w:t xml:space="preserve">Kennedy ME, et al. </w:t>
      </w:r>
      <w:r>
        <w:rPr>
          <w:i/>
          <w:iCs/>
        </w:rPr>
        <w:t xml:space="preserve">Sci Transl Med.</w:t>
      </w:r>
      <w:r>
        <w:t xml:space="preserve"> </w:t>
      </w:r>
      <w:r>
        <w:t xml:space="preserve">2016;8:363ra150.</w:t>
      </w:r>
      <w:r>
        <w:t xml:space="preserve"> </w:t>
      </w:r>
      <w:hyperlink r:id="rId20">
        <w:r>
          <w:rPr>
            <w:rStyle w:val="Hyperlink"/>
          </w:rPr>
          <w:t xml:space="preserve">doi:10.1126/scitranslmed.aad9704</w:t>
        </w:r>
      </w:hyperlink>
    </w:p>
    <w:p>
      <w:pPr>
        <w:pStyle w:val="Compact"/>
        <w:numPr>
          <w:ilvl w:val="0"/>
          <w:numId w:val="1001"/>
        </w:numPr>
      </w:pPr>
      <w:r>
        <w:t xml:space="preserve">Egan MF, et al. </w:t>
      </w:r>
      <w:r>
        <w:rPr>
          <w:i/>
          <w:iCs/>
        </w:rPr>
        <w:t xml:space="preserve">N Engl J Med.</w:t>
      </w:r>
      <w:r>
        <w:t xml:space="preserve"> </w:t>
      </w:r>
      <w:r>
        <w:t xml:space="preserve">2018;378:1691–1703.</w:t>
      </w:r>
      <w:r>
        <w:t xml:space="preserve"> </w:t>
      </w:r>
      <w:hyperlink r:id="rId21">
        <w:r>
          <w:rPr>
            <w:rStyle w:val="Hyperlink"/>
          </w:rPr>
          <w:t xml:space="preserve">doi:10.1056/NEJMoa1706441</w:t>
        </w:r>
      </w:hyperlink>
    </w:p>
    <w:p>
      <w:pPr>
        <w:pStyle w:val="Compact"/>
        <w:numPr>
          <w:ilvl w:val="0"/>
          <w:numId w:val="1001"/>
        </w:numPr>
      </w:pPr>
      <w:r>
        <w:t xml:space="preserve">Egan MF, et al. </w:t>
      </w:r>
      <w:r>
        <w:rPr>
          <w:i/>
          <w:iCs/>
        </w:rPr>
        <w:t xml:space="preserve">N Engl J Med.</w:t>
      </w:r>
      <w:r>
        <w:t xml:space="preserve"> </w:t>
      </w:r>
      <w:r>
        <w:t xml:space="preserve">2019;380:1408–1420.</w:t>
      </w:r>
      <w:r>
        <w:t xml:space="preserve"> </w:t>
      </w:r>
      <w:hyperlink r:id="rId22">
        <w:r>
          <w:rPr>
            <w:rStyle w:val="Hyperlink"/>
          </w:rPr>
          <w:t xml:space="preserve">doi:10.1056/NEJMoa1812840</w:t>
        </w:r>
      </w:hyperlink>
    </w:p>
    <w:p>
      <w:pPr>
        <w:pStyle w:val="Compact"/>
        <w:numPr>
          <w:ilvl w:val="0"/>
          <w:numId w:val="1001"/>
        </w:numPr>
      </w:pPr>
      <w:r>
        <w:t xml:space="preserve">Wessels AM, et al. </w:t>
      </w:r>
      <w:r>
        <w:rPr>
          <w:i/>
          <w:iCs/>
        </w:rPr>
        <w:t xml:space="preserve">JAMA Neurol.</w:t>
      </w:r>
      <w:r>
        <w:t xml:space="preserve"> </w:t>
      </w:r>
      <w:r>
        <w:t xml:space="preserve">2020;77:199–209.</w:t>
      </w:r>
      <w:r>
        <w:t xml:space="preserve"> </w:t>
      </w:r>
      <w:hyperlink r:id="rId23">
        <w:r>
          <w:rPr>
            <w:rStyle w:val="Hyperlink"/>
          </w:rPr>
          <w:t xml:space="preserve">doi:10.1001/jamaneurol.2019.3988</w:t>
        </w:r>
      </w:hyperlink>
    </w:p>
    <w:p>
      <w:pPr>
        <w:pStyle w:val="Compact"/>
        <w:numPr>
          <w:ilvl w:val="0"/>
          <w:numId w:val="1001"/>
        </w:numPr>
      </w:pPr>
      <w:r>
        <w:t xml:space="preserve">Henley D, et al. </w:t>
      </w:r>
      <w:r>
        <w:rPr>
          <w:i/>
          <w:iCs/>
        </w:rPr>
        <w:t xml:space="preserve">N Engl J Med.</w:t>
      </w:r>
      <w:r>
        <w:t xml:space="preserve"> </w:t>
      </w:r>
      <w:r>
        <w:t xml:space="preserve">2019;380:1483–1485.</w:t>
      </w:r>
      <w:r>
        <w:t xml:space="preserve"> </w:t>
      </w:r>
      <w:hyperlink r:id="rId24">
        <w:r>
          <w:rPr>
            <w:rStyle w:val="Hyperlink"/>
          </w:rPr>
          <w:t xml:space="preserve">doi:10.1056/NEJMc1813435</w:t>
        </w:r>
      </w:hyperlink>
    </w:p>
    <w:p>
      <w:pPr>
        <w:pStyle w:val="Compact"/>
        <w:numPr>
          <w:ilvl w:val="0"/>
          <w:numId w:val="1001"/>
        </w:numPr>
      </w:pPr>
      <w:r>
        <w:t xml:space="preserve">Sperling R, et al. </w:t>
      </w:r>
      <w:r>
        <w:rPr>
          <w:i/>
          <w:iCs/>
        </w:rPr>
        <w:t xml:space="preserve">JAMA Neurol.</w:t>
      </w:r>
      <w:r>
        <w:t xml:space="preserve"> </w:t>
      </w:r>
      <w:r>
        <w:t xml:space="preserve">2021;78:293–301.</w:t>
      </w:r>
      <w:r>
        <w:t xml:space="preserve"> </w:t>
      </w:r>
      <w:hyperlink r:id="rId25">
        <w:r>
          <w:rPr>
            <w:rStyle w:val="Hyperlink"/>
          </w:rPr>
          <w:t xml:space="preserve">doi:10.1001/jamaneurol.2020.4857</w:t>
        </w:r>
      </w:hyperlink>
    </w:p>
    <w:p>
      <w:pPr>
        <w:pStyle w:val="Compact"/>
        <w:numPr>
          <w:ilvl w:val="0"/>
          <w:numId w:val="1001"/>
        </w:numPr>
      </w:pPr>
      <w:r>
        <w:t xml:space="preserve">Amgen/Novartis/Banner PR, 11 Jul 2019 (umibecestat / CNP520).</w:t>
      </w:r>
    </w:p>
    <w:p>
      <w:pPr>
        <w:pStyle w:val="Compact"/>
        <w:numPr>
          <w:ilvl w:val="0"/>
          <w:numId w:val="1001"/>
        </w:numPr>
      </w:pPr>
      <w:r>
        <w:t xml:space="preserve">Tariot PN, et al. </w:t>
      </w:r>
      <w:r>
        <w:rPr>
          <w:i/>
          <w:iCs/>
        </w:rPr>
        <w:t xml:space="preserve">Alzheimers Dement.</w:t>
      </w:r>
      <w:r>
        <w:t xml:space="preserve"> </w:t>
      </w:r>
      <w:r>
        <w:t xml:space="preserve">2025;21:e14237.</w:t>
      </w:r>
      <w:r>
        <w:t xml:space="preserve"> </w:t>
      </w:r>
      <w:hyperlink r:id="rId26">
        <w:r>
          <w:rPr>
            <w:rStyle w:val="Hyperlink"/>
          </w:rPr>
          <w:t xml:space="preserve">doi:10.1002/alz.14237</w:t>
        </w:r>
      </w:hyperlink>
    </w:p>
    <w:p>
      <w:pPr>
        <w:pStyle w:val="Compact"/>
        <w:numPr>
          <w:ilvl w:val="0"/>
          <w:numId w:val="1001"/>
        </w:numPr>
      </w:pPr>
      <w:r>
        <w:t xml:space="preserve">Eisai/Biogen, 13 Sep 2019;</w:t>
      </w:r>
      <w:r>
        <w:t xml:space="preserve"> </w:t>
      </w:r>
      <w:hyperlink r:id="rId27">
        <w:r>
          <w:rPr>
            <w:rStyle w:val="Hyperlink"/>
          </w:rPr>
          <w:t xml:space="preserve">NCT02956486</w:t>
        </w:r>
      </w:hyperlink>
    </w:p>
    <w:p>
      <w:pPr>
        <w:pStyle w:val="Compact"/>
        <w:numPr>
          <w:ilvl w:val="0"/>
          <w:numId w:val="1001"/>
        </w:numPr>
      </w:pPr>
      <w:r>
        <w:t xml:space="preserve">Jonsson T, et al. </w:t>
      </w:r>
      <w:r>
        <w:rPr>
          <w:i/>
          <w:iCs/>
        </w:rPr>
        <w:t xml:space="preserve">Nature.</w:t>
      </w:r>
      <w:r>
        <w:t xml:space="preserve"> </w:t>
      </w:r>
      <w:r>
        <w:t xml:space="preserve">2012;488:96–99.</w:t>
      </w:r>
      <w:r>
        <w:t xml:space="preserve"> </w:t>
      </w:r>
      <w:hyperlink r:id="rId28">
        <w:r>
          <w:rPr>
            <w:rStyle w:val="Hyperlink"/>
          </w:rPr>
          <w:t xml:space="preserve">doi:10.1038/nature11283</w:t>
        </w:r>
      </w:hyperlink>
    </w:p>
    <w:p>
      <w:pPr>
        <w:pStyle w:val="Compact"/>
        <w:numPr>
          <w:ilvl w:val="0"/>
          <w:numId w:val="1001"/>
        </w:numPr>
      </w:pPr>
      <w:r>
        <w:t xml:space="preserve">Pigoni M, et al. </w:t>
      </w:r>
      <w:r>
        <w:rPr>
          <w:i/>
          <w:iCs/>
        </w:rPr>
        <w:t xml:space="preserve">Mol Neurodegener.</w:t>
      </w:r>
      <w:r>
        <w:t xml:space="preserve"> </w:t>
      </w:r>
      <w:r>
        <w:t xml:space="preserve">2016;11:67.</w:t>
      </w:r>
      <w:r>
        <w:t xml:space="preserve"> </w:t>
      </w:r>
      <w:hyperlink r:id="rId29">
        <w:r>
          <w:rPr>
            <w:rStyle w:val="Hyperlink"/>
          </w:rPr>
          <w:t xml:space="preserve">doi:10.1186/s13024-016-0134-z</w:t>
        </w:r>
      </w:hyperlink>
    </w:p>
    <w:p>
      <w:pPr>
        <w:pStyle w:val="Compact"/>
        <w:numPr>
          <w:ilvl w:val="0"/>
          <w:numId w:val="1001"/>
        </w:numPr>
      </w:pPr>
      <w:r>
        <w:t xml:space="preserve">Pratsch K, et al. </w:t>
      </w:r>
      <w:r>
        <w:rPr>
          <w:i/>
          <w:iCs/>
        </w:rPr>
        <w:t xml:space="preserve">Int J Mol Sci.</w:t>
      </w:r>
      <w:r>
        <w:t xml:space="preserve"> </w:t>
      </w:r>
      <w:r>
        <w:t xml:space="preserve">2023;24:12283.</w:t>
      </w:r>
      <w:r>
        <w:t xml:space="preserve"> </w:t>
      </w:r>
      <w:hyperlink r:id="rId30">
        <w:r>
          <w:rPr>
            <w:rStyle w:val="Hyperlink"/>
          </w:rPr>
          <w:t xml:space="preserve">doi:10.3390/ijms241512283</w:t>
        </w:r>
      </w:hyperlink>
    </w:p>
    <w:p>
      <w:pPr>
        <w:pStyle w:val="Compact"/>
        <w:numPr>
          <w:ilvl w:val="0"/>
          <w:numId w:val="1001"/>
        </w:numPr>
      </w:pPr>
      <w:r>
        <w:t xml:space="preserve">Kuhn PH, et al. </w:t>
      </w:r>
      <w:r>
        <w:rPr>
          <w:i/>
          <w:iCs/>
        </w:rPr>
        <w:t xml:space="preserve">EMBO J.</w:t>
      </w:r>
      <w:r>
        <w:t xml:space="preserve"> </w:t>
      </w:r>
      <w:r>
        <w:t xml:space="preserve">2012;31:3157–3168.</w:t>
      </w:r>
      <w:r>
        <w:t xml:space="preserve"> </w:t>
      </w:r>
      <w:hyperlink r:id="rId31">
        <w:r>
          <w:rPr>
            <w:rStyle w:val="Hyperlink"/>
          </w:rPr>
          <w:t xml:space="preserve">doi:10.1038/emboj.2012.132</w:t>
        </w:r>
      </w:hyperlink>
    </w:p>
    <w:p>
      <w:pPr>
        <w:pStyle w:val="Compact"/>
        <w:numPr>
          <w:ilvl w:val="0"/>
          <w:numId w:val="1001"/>
        </w:numPr>
      </w:pPr>
      <w:r>
        <w:t xml:space="preserve">Willem M, et al. </w:t>
      </w:r>
      <w:r>
        <w:rPr>
          <w:i/>
          <w:iCs/>
        </w:rPr>
        <w:t xml:space="preserve">Science.</w:t>
      </w:r>
      <w:r>
        <w:t xml:space="preserve"> </w:t>
      </w:r>
      <w:r>
        <w:t xml:space="preserve">2006;314:664–666.</w:t>
      </w:r>
      <w:r>
        <w:t xml:space="preserve"> </w:t>
      </w:r>
      <w:hyperlink r:id="rId32">
        <w:r>
          <w:rPr>
            <w:rStyle w:val="Hyperlink"/>
          </w:rPr>
          <w:t xml:space="preserve">doi:10.1126/science.1132341</w:t>
        </w:r>
      </w:hyperlink>
    </w:p>
    <w:p>
      <w:pPr>
        <w:pStyle w:val="Compact"/>
        <w:numPr>
          <w:ilvl w:val="0"/>
          <w:numId w:val="1001"/>
        </w:numPr>
      </w:pPr>
      <w:r>
        <w:t xml:space="preserve">Rochin L, et al. </w:t>
      </w:r>
      <w:r>
        <w:rPr>
          <w:i/>
          <w:iCs/>
        </w:rPr>
        <w:t xml:space="preserve">Proc Natl Acad Sci USA.</w:t>
      </w:r>
      <w:r>
        <w:t xml:space="preserve"> </w:t>
      </w:r>
      <w:r>
        <w:t xml:space="preserve">2013;110:10658–10663.</w:t>
      </w:r>
      <w:r>
        <w:t xml:space="preserve"> </w:t>
      </w:r>
      <w:hyperlink r:id="rId33">
        <w:r>
          <w:rPr>
            <w:rStyle w:val="Hyperlink"/>
          </w:rPr>
          <w:t xml:space="preserve">doi:10.1073/pnas.1221294110</w:t>
        </w:r>
      </w:hyperlink>
    </w:p>
    <w:p>
      <w:pPr>
        <w:pStyle w:val="Compact"/>
        <w:numPr>
          <w:ilvl w:val="0"/>
          <w:numId w:val="1001"/>
        </w:numPr>
      </w:pPr>
      <w:r>
        <w:t xml:space="preserve">van Dyck CH, et al. </w:t>
      </w:r>
      <w:r>
        <w:rPr>
          <w:i/>
          <w:iCs/>
        </w:rPr>
        <w:t xml:space="preserve">N Engl J Med.</w:t>
      </w:r>
      <w:r>
        <w:t xml:space="preserve"> </w:t>
      </w:r>
      <w:r>
        <w:t xml:space="preserve">2023;388:9–21.</w:t>
      </w:r>
      <w:r>
        <w:t xml:space="preserve"> </w:t>
      </w:r>
      <w:hyperlink r:id="rId34">
        <w:r>
          <w:rPr>
            <w:rStyle w:val="Hyperlink"/>
          </w:rPr>
          <w:t xml:space="preserve">doi:10.1056/NEJMoa2212948</w:t>
        </w:r>
      </w:hyperlink>
    </w:p>
    <w:p>
      <w:pPr>
        <w:pStyle w:val="Compact"/>
        <w:numPr>
          <w:ilvl w:val="0"/>
          <w:numId w:val="1001"/>
        </w:numPr>
      </w:pPr>
      <w:r>
        <w:t xml:space="preserve">Sims JR, et al. </w:t>
      </w:r>
      <w:r>
        <w:rPr>
          <w:i/>
          <w:iCs/>
        </w:rPr>
        <w:t xml:space="preserve">JAMA.</w:t>
      </w:r>
      <w:r>
        <w:t xml:space="preserve"> </w:t>
      </w:r>
      <w:r>
        <w:t xml:space="preserve">2023;330:512–527.</w:t>
      </w:r>
      <w:r>
        <w:t xml:space="preserve"> </w:t>
      </w:r>
      <w:hyperlink r:id="rId35">
        <w:r>
          <w:rPr>
            <w:rStyle w:val="Hyperlink"/>
          </w:rPr>
          <w:t xml:space="preserve">doi:10.1001/jama.2023.13239</w:t>
        </w:r>
      </w:hyperlink>
    </w:p>
    <w:p>
      <w:pPr>
        <w:pStyle w:val="Compact"/>
        <w:numPr>
          <w:ilvl w:val="0"/>
          <w:numId w:val="1001"/>
        </w:numPr>
      </w:pPr>
      <w:r>
        <w:t xml:space="preserve">Campagna J, et al. </w:t>
      </w:r>
      <w:r>
        <w:rPr>
          <w:i/>
          <w:iCs/>
        </w:rPr>
        <w:t xml:space="preserve">Neurotherapeutics.</w:t>
      </w:r>
      <w:r>
        <w:t xml:space="preserve"> </w:t>
      </w:r>
      <w:r>
        <w:t xml:space="preserve">2025;e00610.</w:t>
      </w:r>
      <w:r>
        <w:t xml:space="preserve"> </w:t>
      </w:r>
      <w:hyperlink r:id="rId36">
        <w:r>
          <w:rPr>
            <w:rStyle w:val="Hyperlink"/>
          </w:rPr>
          <w:t xml:space="preserve">doi:10.1016/j.neurot.2025.e00610</w:t>
        </w:r>
      </w:hyperlink>
    </w:p>
    <w:p>
      <w:pPr>
        <w:pStyle w:val="Compact"/>
        <w:numPr>
          <w:ilvl w:val="0"/>
          <w:numId w:val="1001"/>
        </w:numPr>
      </w:pPr>
      <w:r>
        <w:t xml:space="preserve">Atwal JK, et al. </w:t>
      </w:r>
      <w:r>
        <w:rPr>
          <w:i/>
          <w:iCs/>
        </w:rPr>
        <w:t xml:space="preserve">Sci Transl Med.</w:t>
      </w:r>
      <w:r>
        <w:t xml:space="preserve"> </w:t>
      </w:r>
      <w:r>
        <w:t xml:space="preserve">2011;3:84ra43.</w:t>
      </w:r>
      <w:r>
        <w:t xml:space="preserve"> </w:t>
      </w:r>
      <w:hyperlink r:id="rId37">
        <w:r>
          <w:rPr>
            <w:rStyle w:val="Hyperlink"/>
          </w:rPr>
          <w:t xml:space="preserve">doi:10.1126/scitranslmed.3002254</w:t>
        </w:r>
      </w:hyperlink>
    </w:p>
    <w:p>
      <w:pPr>
        <w:pStyle w:val="Compact"/>
        <w:numPr>
          <w:ilvl w:val="0"/>
          <w:numId w:val="1001"/>
        </w:numPr>
      </w:pPr>
      <w:r>
        <w:t xml:space="preserve">Yu YJ, et al. </w:t>
      </w:r>
      <w:r>
        <w:rPr>
          <w:i/>
          <w:iCs/>
        </w:rPr>
        <w:t xml:space="preserve">Sci Transl Med.</w:t>
      </w:r>
      <w:r>
        <w:t xml:space="preserve"> </w:t>
      </w:r>
      <w:r>
        <w:t xml:space="preserve">2011;3:84ra44.</w:t>
      </w:r>
      <w:r>
        <w:t xml:space="preserve"> </w:t>
      </w:r>
      <w:hyperlink r:id="rId38">
        <w:r>
          <w:rPr>
            <w:rStyle w:val="Hyperlink"/>
          </w:rPr>
          <w:t xml:space="preserve">doi:10.1126/scitranslmed.3002230</w:t>
        </w:r>
      </w:hyperlink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clinicaltrials.gov/study/NCT02956486" TargetMode="External" /><Relationship Type="http://schemas.openxmlformats.org/officeDocument/2006/relationships/hyperlink" Id="rId35" Target="https://doi.org/10.1001/jama.2023.13239" TargetMode="External" /><Relationship Type="http://schemas.openxmlformats.org/officeDocument/2006/relationships/hyperlink" Id="rId23" Target="https://doi.org/10.1001/jamaneurol.2019.3988" TargetMode="External" /><Relationship Type="http://schemas.openxmlformats.org/officeDocument/2006/relationships/hyperlink" Id="rId25" Target="https://doi.org/10.1001/jamaneurol.2020.4857" TargetMode="External" /><Relationship Type="http://schemas.openxmlformats.org/officeDocument/2006/relationships/hyperlink" Id="rId26" Target="https://doi.org/10.1002/alz.14237" TargetMode="External" /><Relationship Type="http://schemas.openxmlformats.org/officeDocument/2006/relationships/hyperlink" Id="rId15" Target="https://doi.org/10.1016/j.bmcl.2004.09.090" TargetMode="External" /><Relationship Type="http://schemas.openxmlformats.org/officeDocument/2006/relationships/hyperlink" Id="rId36" Target="https://doi.org/10.1016/j.neurot.2025.e00610" TargetMode="External" /><Relationship Type="http://schemas.openxmlformats.org/officeDocument/2006/relationships/hyperlink" Id="rId13" Target="https://doi.org/10.1021/ja000300g" TargetMode="External" /><Relationship Type="http://schemas.openxmlformats.org/officeDocument/2006/relationships/hyperlink" Id="rId31" Target="https://doi.org/10.1038/emboj.2012.132" TargetMode="External" /><Relationship Type="http://schemas.openxmlformats.org/officeDocument/2006/relationships/hyperlink" Id="rId28" Target="https://doi.org/10.1038/nature11283" TargetMode="External" /><Relationship Type="http://schemas.openxmlformats.org/officeDocument/2006/relationships/hyperlink" Id="rId18" Target="https://doi.org/10.1038/ncomms13042" TargetMode="External" /><Relationship Type="http://schemas.openxmlformats.org/officeDocument/2006/relationships/hyperlink" Id="rId24" Target="https://doi.org/10.1056/NEJMc1813435" TargetMode="External" /><Relationship Type="http://schemas.openxmlformats.org/officeDocument/2006/relationships/hyperlink" Id="rId21" Target="https://doi.org/10.1056/NEJMoa1706441" TargetMode="External" /><Relationship Type="http://schemas.openxmlformats.org/officeDocument/2006/relationships/hyperlink" Id="rId22" Target="https://doi.org/10.1056/NEJMoa1812840" TargetMode="External" /><Relationship Type="http://schemas.openxmlformats.org/officeDocument/2006/relationships/hyperlink" Id="rId34" Target="https://doi.org/10.1056/NEJMoa2212948" TargetMode="External" /><Relationship Type="http://schemas.openxmlformats.org/officeDocument/2006/relationships/hyperlink" Id="rId33" Target="https://doi.org/10.1073/pnas.1221294110" TargetMode="External" /><Relationship Type="http://schemas.openxmlformats.org/officeDocument/2006/relationships/hyperlink" Id="rId16" Target="https://doi.org/10.1111/j.1471-4159.2005.03576.x" TargetMode="External" /><Relationship Type="http://schemas.openxmlformats.org/officeDocument/2006/relationships/hyperlink" Id="rId32" Target="https://doi.org/10.1126/science.1132341" TargetMode="External" /><Relationship Type="http://schemas.openxmlformats.org/officeDocument/2006/relationships/hyperlink" Id="rId14" Target="https://doi.org/10.1126/science.290.5489.150" TargetMode="External" /><Relationship Type="http://schemas.openxmlformats.org/officeDocument/2006/relationships/hyperlink" Id="rId38" Target="https://doi.org/10.1126/scitranslmed.3002230" TargetMode="External" /><Relationship Type="http://schemas.openxmlformats.org/officeDocument/2006/relationships/hyperlink" Id="rId37" Target="https://doi.org/10.1126/scitranslmed.3002254" TargetMode="External" /><Relationship Type="http://schemas.openxmlformats.org/officeDocument/2006/relationships/hyperlink" Id="rId20" Target="https://doi.org/10.1126/scitranslmed.aad9704" TargetMode="External" /><Relationship Type="http://schemas.openxmlformats.org/officeDocument/2006/relationships/hyperlink" Id="rId29" Target="https://doi.org/10.1186/s13024-016-0134-z" TargetMode="External" /><Relationship Type="http://schemas.openxmlformats.org/officeDocument/2006/relationships/hyperlink" Id="rId17" Target="https://doi.org/10.1523/JNEUROSCI.3647-11.2011" TargetMode="External" /><Relationship Type="http://schemas.openxmlformats.org/officeDocument/2006/relationships/hyperlink" Id="rId19" Target="https://doi.org/10.1523/JNEUROSCI.4129-14.2015" TargetMode="External" /><Relationship Type="http://schemas.openxmlformats.org/officeDocument/2006/relationships/hyperlink" Id="rId30" Target="https://doi.org/10.3390/ijms24151228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clinicaltrials.gov/study/NCT02956486" TargetMode="External" /><Relationship Type="http://schemas.openxmlformats.org/officeDocument/2006/relationships/hyperlink" Id="rId35" Target="https://doi.org/10.1001/jama.2023.13239" TargetMode="External" /><Relationship Type="http://schemas.openxmlformats.org/officeDocument/2006/relationships/hyperlink" Id="rId23" Target="https://doi.org/10.1001/jamaneurol.2019.3988" TargetMode="External" /><Relationship Type="http://schemas.openxmlformats.org/officeDocument/2006/relationships/hyperlink" Id="rId25" Target="https://doi.org/10.1001/jamaneurol.2020.4857" TargetMode="External" /><Relationship Type="http://schemas.openxmlformats.org/officeDocument/2006/relationships/hyperlink" Id="rId26" Target="https://doi.org/10.1002/alz.14237" TargetMode="External" /><Relationship Type="http://schemas.openxmlformats.org/officeDocument/2006/relationships/hyperlink" Id="rId15" Target="https://doi.org/10.1016/j.bmcl.2004.09.090" TargetMode="External" /><Relationship Type="http://schemas.openxmlformats.org/officeDocument/2006/relationships/hyperlink" Id="rId36" Target="https://doi.org/10.1016/j.neurot.2025.e00610" TargetMode="External" /><Relationship Type="http://schemas.openxmlformats.org/officeDocument/2006/relationships/hyperlink" Id="rId13" Target="https://doi.org/10.1021/ja000300g" TargetMode="External" /><Relationship Type="http://schemas.openxmlformats.org/officeDocument/2006/relationships/hyperlink" Id="rId31" Target="https://doi.org/10.1038/emboj.2012.132" TargetMode="External" /><Relationship Type="http://schemas.openxmlformats.org/officeDocument/2006/relationships/hyperlink" Id="rId28" Target="https://doi.org/10.1038/nature11283" TargetMode="External" /><Relationship Type="http://schemas.openxmlformats.org/officeDocument/2006/relationships/hyperlink" Id="rId18" Target="https://doi.org/10.1038/ncomms13042" TargetMode="External" /><Relationship Type="http://schemas.openxmlformats.org/officeDocument/2006/relationships/hyperlink" Id="rId24" Target="https://doi.org/10.1056/NEJMc1813435" TargetMode="External" /><Relationship Type="http://schemas.openxmlformats.org/officeDocument/2006/relationships/hyperlink" Id="rId21" Target="https://doi.org/10.1056/NEJMoa1706441" TargetMode="External" /><Relationship Type="http://schemas.openxmlformats.org/officeDocument/2006/relationships/hyperlink" Id="rId22" Target="https://doi.org/10.1056/NEJMoa1812840" TargetMode="External" /><Relationship Type="http://schemas.openxmlformats.org/officeDocument/2006/relationships/hyperlink" Id="rId34" Target="https://doi.org/10.1056/NEJMoa2212948" TargetMode="External" /><Relationship Type="http://schemas.openxmlformats.org/officeDocument/2006/relationships/hyperlink" Id="rId33" Target="https://doi.org/10.1073/pnas.1221294110" TargetMode="External" /><Relationship Type="http://schemas.openxmlformats.org/officeDocument/2006/relationships/hyperlink" Id="rId16" Target="https://doi.org/10.1111/j.1471-4159.2005.03576.x" TargetMode="External" /><Relationship Type="http://schemas.openxmlformats.org/officeDocument/2006/relationships/hyperlink" Id="rId32" Target="https://doi.org/10.1126/science.1132341" TargetMode="External" /><Relationship Type="http://schemas.openxmlformats.org/officeDocument/2006/relationships/hyperlink" Id="rId14" Target="https://doi.org/10.1126/science.290.5489.150" TargetMode="External" /><Relationship Type="http://schemas.openxmlformats.org/officeDocument/2006/relationships/hyperlink" Id="rId38" Target="https://doi.org/10.1126/scitranslmed.3002230" TargetMode="External" /><Relationship Type="http://schemas.openxmlformats.org/officeDocument/2006/relationships/hyperlink" Id="rId37" Target="https://doi.org/10.1126/scitranslmed.3002254" TargetMode="External" /><Relationship Type="http://schemas.openxmlformats.org/officeDocument/2006/relationships/hyperlink" Id="rId20" Target="https://doi.org/10.1126/scitranslmed.aad9704" TargetMode="External" /><Relationship Type="http://schemas.openxmlformats.org/officeDocument/2006/relationships/hyperlink" Id="rId29" Target="https://doi.org/10.1186/s13024-016-0134-z" TargetMode="External" /><Relationship Type="http://schemas.openxmlformats.org/officeDocument/2006/relationships/hyperlink" Id="rId17" Target="https://doi.org/10.1523/JNEUROSCI.3647-11.2011" TargetMode="External" /><Relationship Type="http://schemas.openxmlformats.org/officeDocument/2006/relationships/hyperlink" Id="rId19" Target="https://doi.org/10.1523/JNEUROSCI.4129-14.2015" TargetMode="External" /><Relationship Type="http://schemas.openxmlformats.org/officeDocument/2006/relationships/hyperlink" Id="rId30" Target="https://doi.org/10.3390/ijms24151228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BACE1: why inhibitors failed, and whether PPI is the next bet</dc:title>
  <dc:creator>BACE1_Discovery canvas (print of all tabs)</dc:creator>
  <cp:keywords/>
  <dcterms:created xsi:type="dcterms:W3CDTF">2026-09-18T04:27:47Z</dcterms:created>
  <dcterms:modified xsi:type="dcterms:W3CDTF">2026-09-18T04:27:47Z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lorlinks">
    <vt:lpwstr>True</vt:lpwstr>
  </property>
  <property fmtid="{D5CDD505-2E9C-101B-9397-08002B2CF9AE}" pid="3" name="date">
    <vt:lpwstr>2026-09-18</vt:lpwstr>
  </property>
  <property fmtid="{D5CDD505-2E9C-101B-9397-08002B2CF9AE}" pid="4" name="fontsize">
    <vt:lpwstr>10pt</vt:lpwstr>
  </property>
  <property fmtid="{D5CDD505-2E9C-101B-9397-08002B2CF9AE}" pid="5" name="geometry">
    <vt:lpwstr>margin=0.85in</vt:lpwstr>
  </property>
  <property fmtid="{D5CDD505-2E9C-101B-9397-08002B2CF9AE}" pid="6" name="header-includes">
    <vt:lpwstr/>
  </property>
  <property fmtid="{D5CDD505-2E9C-101B-9397-08002B2CF9AE}" pid="7" name="linkcolor">
    <vt:lpwstr>blue</vt:lpwstr>
  </property>
  <property fmtid="{D5CDD505-2E9C-101B-9397-08002B2CF9AE}" pid="8" name="mainfont">
    <vt:lpwstr>Noto Sans</vt:lpwstr>
  </property>
  <property fmtid="{D5CDD505-2E9C-101B-9397-08002B2CF9AE}" pid="9" name="urlcolor">
    <vt:lpwstr>blue</vt:lpwstr>
  </property>
</Properties>
</file>