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BACE1 inhibitor: next steps that can actually succeed</w:t>
      </w:r>
    </w:p>
    <w:p>
      <w:pPr>
        <w:pStyle w:val="Author"/>
      </w:pPr>
      <w:r>
        <w:t xml:space="preserve">BACE1_Discovery canvas (print of all tabs)</w:t>
      </w:r>
    </w:p>
    <w:p>
      <w:pPr>
        <w:pStyle w:val="Date"/>
      </w:pPr>
      <w:r>
        <w:t xml:space="preserve">2026-09-18</w:t>
      </w:r>
    </w:p>
    <w:p>
      <w:pPr>
        <w:pStyle w:val="FirstParagraph"/>
      </w:pPr>
      <w:r>
        <w:t xml:space="preserve">Do not run another catalytic occupancy program. Lock a modest, APP-selective product profile, build a substrate-safety assay cascade before chemistry scales, and only then optimize a CNS lead. The program is won or lost on uncoupling sAPPβ from sSEZ6 — not on IC50 against a FRET peptide.</w:t>
      </w:r>
    </w:p>
    <w:p>
      <w:pPr>
        <w:pStyle w:val="BodyText"/>
      </w:pPr>
      <w:r>
        <w:rPr>
          <w:b/>
          <w:bCs/>
        </w:rPr>
        <w:t xml:space="preserve">Do this first.</w:t>
      </w:r>
      <w:r>
        <w:t xml:space="preserve"> </w:t>
      </w:r>
      <w:r>
        <w:t xml:space="preserve">Any hit that lowers sSEZ6 in parallel with sAPPβ is a failed series, even if potent, brain-penetrant, and BACE2-sparing.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Aβ / sAPPβ reduction</w:t>
            </w:r>
          </w:p>
        </w:tc>
        <w:tc>
          <w:tcPr/>
          <w:p>
            <w:pPr>
              <w:pStyle w:val="Compact"/>
            </w:pPr>
            <w:r>
              <w:t xml:space="preserve">20–40%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sSEZ6 remaining vs vehicle</w:t>
            </w:r>
          </w:p>
        </w:tc>
        <w:tc>
          <w:tcPr/>
          <w:p>
            <w:pPr>
              <w:pStyle w:val="Compact"/>
            </w:pPr>
            <w:r>
              <w:t xml:space="preserve">≥70%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vs NRG1 / SEZ6 / CatD</w:t>
            </w:r>
          </w:p>
        </w:tc>
        <w:tc>
          <w:tcPr/>
          <w:p>
            <w:pPr>
              <w:pStyle w:val="Compact"/>
            </w:pPr>
            <w:r>
              <w:t xml:space="preserve">&gt;100×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human cognitive safety read</w:t>
            </w:r>
          </w:p>
        </w:tc>
        <w:tc>
          <w:tcPr/>
          <w:p>
            <w:pPr>
              <w:pStyle w:val="Compact"/>
            </w:pPr>
            <w:r>
              <w:t xml:space="preserve">Week 4–12</w:t>
            </w:r>
          </w:p>
        </w:tc>
      </w:tr>
    </w:tbl>
    <w:bookmarkStart w:id="9" w:name="target-product-profile"/>
    <w:p>
      <w:pPr>
        <w:pStyle w:val="Heading1"/>
      </w:pPr>
      <w:r>
        <w:t xml:space="preserve">1. Target product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Forbidden (already failed)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APP-selective BACE1 (interface / ASBI). Partial catalytic only as backup if SEZ6 spared at the dose</w:t>
            </w:r>
          </w:p>
        </w:tc>
        <w:tc>
          <w:tcPr/>
          <w:p>
            <w:pPr>
              <w:pStyle w:val="Compact"/>
            </w:pPr>
            <w:r>
              <w:t xml:space="preserve">Orthosteric occupancy aiming at 70–90% BACE1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Aβ PD</w:t>
            </w:r>
          </w:p>
        </w:tc>
        <w:tc>
          <w:tcPr/>
          <w:p>
            <w:pPr>
              <w:pStyle w:val="Compact"/>
            </w:pPr>
            <w:r>
              <w:t xml:space="preserve">20–40% sAPPβ and Aβ40/42 (A673T range)</w:t>
            </w:r>
          </w:p>
        </w:tc>
        <w:tc>
          <w:tcPr/>
          <w:p>
            <w:pPr>
              <w:pStyle w:val="Compact"/>
            </w:pPr>
            <w:r>
              <w:t xml:space="preserve">50–90% CSF Aβ as a success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Synaptic safety</w:t>
            </w:r>
          </w:p>
        </w:tc>
        <w:tc>
          <w:tcPr/>
          <w:p>
            <w:pPr>
              <w:pStyle w:val="Compact"/>
            </w:pPr>
            <w:r>
              <w:t xml:space="preserve">sSEZ6 remaining ≥70%; no 21-day spine loss</w:t>
            </w:r>
          </w:p>
        </w:tc>
        <w:tc>
          <w:tcPr/>
          <w:p>
            <w:pPr>
              <w:pStyle w:val="Compact"/>
            </w:pPr>
            <w:r>
              <w:t xml:space="preserve">sSEZ6 tracking Aβ one-for-one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Selectivity</w:t>
            </w:r>
          </w:p>
        </w:tc>
        <w:tc>
          <w:tcPr/>
          <w:p>
            <w:pPr>
              <w:pStyle w:val="Compact"/>
            </w:pPr>
            <w:r>
              <w:t xml:space="preserve">BACE1 ≫ BACE2, CatD, pepsin, renin; NRG1, CHL1, gp130 spared</w:t>
            </w:r>
          </w:p>
        </w:tc>
        <w:tc>
          <w:tcPr/>
          <w:p>
            <w:pPr>
              <w:pStyle w:val="Compact"/>
            </w:pPr>
            <w:r>
              <w:t xml:space="preserve">BACE2-sparing used as a substitute for substrate selectivity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Molecule</w:t>
            </w:r>
          </w:p>
        </w:tc>
        <w:tc>
          <w:tcPr/>
          <w:p>
            <w:pPr>
              <w:pStyle w:val="Compact"/>
            </w:pPr>
            <w:r>
              <w:t xml:space="preserve">Oral CNS small molecule; unbound brain exposure; not a P-gp substrate</w:t>
            </w:r>
          </w:p>
        </w:tc>
        <w:tc>
          <w:tcPr/>
          <w:p>
            <w:pPr>
              <w:pStyle w:val="Compact"/>
            </w:pPr>
            <w:r>
              <w:t xml:space="preserve">Peptide / TAT conjugate unless a human BBB platform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Preclinical amyloid+ prevention, or oral maintenance / add-on after plaque-clearing mAb</w:t>
            </w:r>
          </w:p>
        </w:tc>
        <w:tc>
          <w:tcPr/>
          <w:p>
            <w:pPr>
              <w:pStyle w:val="Compact"/>
            </w:pPr>
            <w:r>
              <w:t xml:space="preserve">Monotherapy in mild-to-moderate AD</w:t>
            </w:r>
          </w:p>
        </w:tc>
      </w:tr>
    </w:tbl>
    <w:p>
      <w:pPr>
        <w:pStyle w:val="BodyText"/>
      </w:pPr>
      <w:r>
        <w:rPr>
          <w:b/>
          <w:bCs/>
        </w:rPr>
        <w:t xml:space="preserve">Kill the series:</w:t>
      </w:r>
      <w:r>
        <w:t xml:space="preserve"> </w:t>
      </w:r>
      <w:r>
        <w:t xml:space="preserve">neurons with sAPPβ down and sSEZ6 or sNRG1 down at the same concentration; 21-day mouse 30% Aβ dose that drops brain sSEZ6 below ~40% or reduces spines; liver enzymes, retinal CatD, P-gp, or no unbound brain exposure.</w:t>
      </w:r>
    </w:p>
    <w:p>
      <w:pPr>
        <w:pStyle w:val="BodyText"/>
      </w:pPr>
      <w:r>
        <w:rPr>
          <w:b/>
          <w:bCs/>
        </w:rPr>
        <w:t xml:space="preserve">Keep the series:</w:t>
      </w:r>
      <w:r>
        <w:t xml:space="preserve"> </w:t>
      </w:r>
      <w:r>
        <w:t xml:space="preserve">APP IC50 ≥100-fold tighter than SEZ6/NRG1/PSGL1; in vivo Aβ 20–40% with sSEZ6/sCHL1/sgp130/sVCAM-1 unchanged; cognition and two-photon spines like vehicle at ≥21 days.</w:t>
      </w:r>
    </w:p>
    <w:p>
      <w:pPr>
        <w:pStyle w:val="BodyText"/>
      </w:pPr>
      <w:r>
        <w:t xml:space="preserve">Do not start a virtual screen against the catalytic aspartates until the TPP and selectivity panel exist. Negative controls: verubecestat and a peptide isostere must fail the panel.</w:t>
      </w:r>
    </w:p>
    <w:bookmarkEnd w:id="9"/>
    <w:bookmarkStart w:id="10" w:name="assay-cascade"/>
    <w:p>
      <w:pPr>
        <w:pStyle w:val="Heading1"/>
      </w:pPr>
      <w:r>
        <w:t xml:space="preserve">2. Assay cascade</w:t>
      </w:r>
    </w:p>
    <w:p>
      <w:pPr>
        <w:pStyle w:val="FirstParagraph"/>
      </w:pPr>
      <w:r>
        <w:t xml:space="preserve">Historical BACE1 screens used short peptide FRETs and selected active-site binders. Reward APP engagement; punish SEZ6/NRG1 blockade.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Assay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 Controls</w:t>
            </w:r>
          </w:p>
        </w:tc>
        <w:tc>
          <w:tcPr/>
          <w:p>
            <w:pPr>
              <w:pStyle w:val="Compact"/>
            </w:pPr>
            <w:r>
              <w:t xml:space="preserve">Verubecestat, lanabecestat, OM99-2, BACE-IV</w:t>
            </w:r>
          </w:p>
        </w:tc>
        <w:tc>
          <w:tcPr/>
          <w:p>
            <w:pPr>
              <w:pStyle w:val="Compact"/>
            </w:pPr>
            <w:r>
              <w:t xml:space="preserve">They fail the selectivity ratio</w:t>
            </w:r>
          </w:p>
        </w:tc>
        <w:tc>
          <w:tcPr/>
          <w:p>
            <w:pPr>
              <w:pStyle w:val="Compact"/>
            </w:pPr>
            <w:r>
              <w:t xml:space="preserve">Prove the panel can kill known drugs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Primary</w:t>
            </w:r>
          </w:p>
        </w:tc>
        <w:tc>
          <w:tcPr/>
          <w:p>
            <w:pPr>
              <w:pStyle w:val="Compact"/>
            </w:pPr>
            <w:r>
              <w:t xml:space="preserve">Membrane APP or MBP-APPC125</w:t>
            </w:r>
          </w:p>
        </w:tc>
        <w:tc>
          <w:tcPr/>
          <w:p>
            <w:pPr>
              <w:pStyle w:val="Compact"/>
            </w:pPr>
            <w:r>
              <w:t xml:space="preserve">Useful IC50; not only a 10-mer FRET</w:t>
            </w:r>
          </w:p>
        </w:tc>
        <w:tc>
          <w:tcPr/>
          <w:p>
            <w:pPr>
              <w:pStyle w:val="Compact"/>
            </w:pPr>
            <w:r>
              <w:t xml:space="preserve">APP-relevant inhibition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Selectivity</w:t>
            </w:r>
          </w:p>
        </w:tc>
        <w:tc>
          <w:tcPr/>
          <w:p>
            <w:pPr>
              <w:pStyle w:val="Compact"/>
            </w:pPr>
            <w:r>
              <w:t xml:space="preserve">SEZ6, NRG1, PSGL1; BACE2; CatD</w:t>
            </w:r>
          </w:p>
        </w:tc>
        <w:tc>
          <w:tcPr/>
          <w:p>
            <w:pPr>
              <w:pStyle w:val="Compact"/>
            </w:pPr>
            <w:r>
              <w:t xml:space="preserve">≥100× APP-selective; CatD inactive at 10 μM</w:t>
            </w:r>
          </w:p>
        </w:tc>
        <w:tc>
          <w:tcPr/>
          <w:p>
            <w:pPr>
              <w:pStyle w:val="Compact"/>
            </w:pPr>
            <w:r>
              <w:t xml:space="preserve">Synaptic and retinal liabilities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Mechanism</w:t>
            </w:r>
          </w:p>
        </w:tc>
        <w:tc>
          <w:tcPr/>
          <w:p>
            <w:pPr>
              <w:pStyle w:val="Compact"/>
            </w:pPr>
            <w:r>
              <w:t xml:space="preserve">SPR to APP and BACE1; vs OM99-2</w:t>
            </w:r>
          </w:p>
        </w:tc>
        <w:tc>
          <w:tcPr/>
          <w:p>
            <w:pPr>
              <w:pStyle w:val="Compact"/>
            </w:pPr>
            <w:r>
              <w:t xml:space="preserve">APP and/or exosite; noncompetitive with isostere preferred</w:t>
            </w:r>
          </w:p>
        </w:tc>
        <w:tc>
          <w:tcPr/>
          <w:p>
            <w:pPr>
              <w:pStyle w:val="Compact"/>
            </w:pPr>
            <w:r>
              <w:t xml:space="preserve">Confirm PPI / ASBI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Cells</w:t>
            </w:r>
          </w:p>
        </w:tc>
        <w:tc>
          <w:tcPr/>
          <w:p>
            <w:pPr>
              <w:pStyle w:val="Compact"/>
            </w:pPr>
            <w:r>
              <w:t xml:space="preserve">Primary / iPSC neurons</w:t>
            </w:r>
          </w:p>
        </w:tc>
        <w:tc>
          <w:tcPr/>
          <w:p>
            <w:pPr>
              <w:pStyle w:val="Compact"/>
            </w:pPr>
            <w:r>
              <w:t xml:space="preserve">sAPPβ and Aβ down; sSEZ6, sCHL1, sNRG1, sgp130 flat</w:t>
            </w:r>
          </w:p>
        </w:tc>
        <w:tc>
          <w:tcPr/>
          <w:p>
            <w:pPr>
              <w:pStyle w:val="Compact"/>
            </w:pPr>
            <w:r>
              <w:t xml:space="preserve">Physiological membranes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CNS</w:t>
            </w:r>
          </w:p>
        </w:tc>
        <w:tc>
          <w:tcPr/>
          <w:p>
            <w:pPr>
              <w:pStyle w:val="Compact"/>
            </w:pPr>
            <w:r>
              <w:t xml:space="preserve">Papp, P-gp, unbound fraction, mouse Kp,uu</w:t>
            </w:r>
          </w:p>
        </w:tc>
        <w:tc>
          <w:tcPr/>
          <w:p>
            <w:pPr>
              <w:pStyle w:val="Compact"/>
            </w:pPr>
            <w:r>
              <w:t xml:space="preserve">Kp,uu ≥0.3; not an efflux substrate</w:t>
            </w:r>
          </w:p>
        </w:tc>
        <w:tc>
          <w:tcPr/>
          <w:p>
            <w:pPr>
              <w:pStyle w:val="Compact"/>
            </w:pPr>
            <w:r>
              <w:t xml:space="preserve">Avoid peptide BBB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Safety PD</w:t>
            </w:r>
          </w:p>
        </w:tc>
        <w:tc>
          <w:tcPr/>
          <w:p>
            <w:pPr>
              <w:pStyle w:val="Compact"/>
            </w:pPr>
            <w:r>
              <w:t xml:space="preserve">21-day mouse: Aβ vs sSEZ6 + two-photon spines</w:t>
            </w:r>
          </w:p>
        </w:tc>
        <w:tc>
          <w:tcPr/>
          <w:p>
            <w:pPr>
              <w:pStyle w:val="Compact"/>
            </w:pPr>
            <w:r>
              <w:t xml:space="preserve">Aβ −20 to −40%; sSEZ6 ≥70%; no spine loss</w:t>
            </w:r>
          </w:p>
        </w:tc>
        <w:tc>
          <w:tcPr/>
          <w:p>
            <w:pPr>
              <w:pStyle w:val="Compact"/>
            </w:pPr>
            <w:r>
              <w:t xml:space="preserve">Program-defining experiment</w:t>
            </w:r>
          </w:p>
        </w:tc>
      </w:tr>
    </w:tbl>
    <w:p>
      <w:pPr>
        <w:pStyle w:val="BodyText"/>
      </w:pPr>
      <w:r>
        <w:t xml:space="preserve">Approximate remaining vs vehicle (Pratsch 2023): failed Phase 3 both Aβ and sSEZ6 down together; Shionogi 1 Aβ 32% / sSEZ6 17% lost spines; Shionogi 2 Aβ 67% / sSEZ6 39% did not. Target ASBI: Aβ ~70% remaining, sSEZ6 ~90%.</w:t>
      </w:r>
    </w:p>
    <w:p>
      <w:pPr>
        <w:pStyle w:val="BodyText"/>
      </w:pPr>
      <w:r>
        <w:t xml:space="preserve">Umibecestat and later BACE1-preferring compounds still caused cognitive/synaptic signals when SEZ6 cleavage fell too far. CSF sVCAM-1 = BACE2 marker; CSF sSEZ6/sSEZ6L = BACE1-synapse marker that decides the dose.</w:t>
      </w:r>
    </w:p>
    <w:bookmarkEnd w:id="10"/>
    <w:bookmarkStart w:id="11" w:name="lead-to-candidate"/>
    <w:p>
      <w:pPr>
        <w:pStyle w:val="Heading1"/>
      </w:pPr>
      <w:r>
        <w:t xml:space="preserve">3. Lead to candidate</w:t>
      </w:r>
    </w:p>
    <w:p>
      <w:pPr>
        <w:pStyle w:val="FirstParagraph"/>
      </w:pPr>
      <w:r>
        <w:t xml:space="preserve">Months 0–6: CNS-like library on APP-membrane / MBP-APPC125, counterscreen SEZ6 and NRG1 (FAH65 logic). Months 6–18: unbound brain, CatD, hERG, liver, P-gp; co-crystal/HDX to show you are not in the active site. Months 18–30: chronic mouse uncoupling; rat/dog tox (retina, liver); NHP CSF proteomics (Aβ, sAPPβ, SEZ6, SEZ6L, CHL1, gp130, VCAM-1); combo with anti-Aβ mAb in plaque mice.</w:t>
      </w:r>
    </w:p>
    <w:p>
      <w:pPr>
        <w:pStyle w:val="BodyText"/>
      </w:pPr>
      <w:r>
        <w:t xml:space="preserve">In vivo package Phase 3 never used as a gate: 7-day PK/PD; 21-day two-photon (Herms); NOR/Y-maze; plaque mouse ± mAb; NHP 2–4 week CSF vs verubecestat-like signature.</w:t>
      </w:r>
    </w:p>
    <w:p>
      <w:pPr>
        <w:pStyle w:val="BodyText"/>
      </w:pPr>
      <w:r>
        <w:rPr>
          <w:b/>
          <w:bCs/>
        </w:rPr>
        <w:t xml:space="preserve">Chemistry trap.</w:t>
      </w:r>
      <w:r>
        <w:t xml:space="preserve"> </w:t>
      </w:r>
      <w:r>
        <w:t xml:space="preserve">A warhead in the OM99-2 site is a low-dose catalytic backup, not APP-selective.</w:t>
      </w:r>
    </w:p>
    <w:bookmarkEnd w:id="11"/>
    <w:bookmarkStart w:id="12" w:name="clinical-path-do-not-rerun-epoch"/>
    <w:p>
      <w:pPr>
        <w:pStyle w:val="Heading1"/>
      </w:pPr>
      <w:r>
        <w:t xml:space="preserve">4. Clinical path — do not rerun EPOCH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Go 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Healthy, then amyloid+ unimpaired</w:t>
            </w:r>
          </w:p>
        </w:tc>
        <w:tc>
          <w:tcPr/>
          <w:p>
            <w:pPr>
              <w:pStyle w:val="Compact"/>
            </w:pPr>
            <w:r>
              <w:t xml:space="preserve">PK; CSF Aβ/sAPPβ; sSEZ6, sSEZ6L, CHL1, gp130, VCAM-1; Digit Symbol / RBANS weeks 2–12</w:t>
            </w:r>
          </w:p>
        </w:tc>
        <w:tc>
          <w:tcPr/>
          <w:p>
            <w:pPr>
              <w:pStyle w:val="Compact"/>
            </w:pPr>
            <w:r>
              <w:t xml:space="preserve">20–40% Aβ, synaptic CSF flat, no umibecestat-pattern worsening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 combo</w:t>
            </w:r>
          </w:p>
        </w:tc>
        <w:tc>
          <w:tcPr/>
          <w:p>
            <w:pPr>
              <w:pStyle w:val="Compact"/>
            </w:pPr>
            <w:r>
              <w:t xml:space="preserve">Early AD on stable anti-Aβ mAb</w:t>
            </w:r>
          </w:p>
        </w:tc>
        <w:tc>
          <w:tcPr/>
          <w:p>
            <w:pPr>
              <w:pStyle w:val="Compact"/>
            </w:pPr>
            <w:r>
              <w:t xml:space="preserve">Same CSF + plasma p-tau217 / Aβ42/40; ARIA vs mAb alone</w:t>
            </w:r>
          </w:p>
        </w:tc>
        <w:tc>
          <w:tcPr/>
          <w:p>
            <w:pPr>
              <w:pStyle w:val="Compact"/>
            </w:pPr>
            <w:r>
              <w:t xml:space="preserve">Add-on does not worsen cognition or 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prevention</w:t>
            </w:r>
          </w:p>
        </w:tc>
        <w:tc>
          <w:tcPr/>
          <w:p>
            <w:pPr>
              <w:pStyle w:val="Compact"/>
            </w:pPr>
            <w:r>
              <w:t xml:space="preserve">Preclinical amyloid+ (AHEAD-like)</w:t>
            </w:r>
          </w:p>
        </w:tc>
        <w:tc>
          <w:tcPr/>
          <w:p>
            <w:pPr>
              <w:pStyle w:val="Compact"/>
            </w:pPr>
            <w:r>
              <w:t xml:space="preserve">CDR-SB / PACC; amyloid PET slope; 12-week cognitive safety</w:t>
            </w:r>
          </w:p>
        </w:tc>
        <w:tc>
          <w:tcPr/>
          <w:p>
            <w:pPr>
              <w:pStyle w:val="Compact"/>
            </w:pPr>
            <w:r>
              <w:t xml:space="preserve">Slower amyloid accumulation, stable cognition, SEZ6-sparing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maintenance</w:t>
            </w:r>
          </w:p>
        </w:tc>
        <w:tc>
          <w:tcPr/>
          <w:p>
            <w:pPr>
              <w:pStyle w:val="Compact"/>
            </w:pPr>
            <w:r>
              <w:t xml:space="preserve">Post-mAb plaque clearance</w:t>
            </w:r>
          </w:p>
        </w:tc>
        <w:tc>
          <w:tcPr/>
          <w:p>
            <w:pPr>
              <w:pStyle w:val="Compact"/>
            </w:pPr>
            <w:r>
              <w:t xml:space="preserve">Time to amyloid reaccumulation</w:t>
            </w:r>
          </w:p>
        </w:tc>
        <w:tc>
          <w:tcPr/>
          <w:p>
            <w:pPr>
              <w:pStyle w:val="Compact"/>
            </w:pPr>
            <w:r>
              <w:t xml:space="preserve">Prevents rebound outside Phase 3 occupancy</w:t>
            </w:r>
          </w:p>
        </w:tc>
      </w:tr>
    </w:tbl>
    <w:p>
      <w:pPr>
        <w:pStyle w:val="BodyText"/>
      </w:pPr>
      <w:r>
        <w:t xml:space="preserve">If resources are limited: (1) TPP + kill criteria; (2) APP vs SEZ6/NRG1 panel with verubecestat fail control; (3) 21-day spines at the 30% Aβ dose; (4) written use = prevention or mAb-maintenance.</w:t>
      </w:r>
    </w:p>
    <w:bookmarkEnd w:id="12"/>
    <w:bookmarkStart w:id="18" w:name="sources"/>
    <w:p>
      <w:pPr>
        <w:pStyle w:val="Heading1"/>
      </w:pPr>
      <w:r>
        <w:t xml:space="preserve">Sources</w:t>
      </w:r>
    </w:p>
    <w:p>
      <w:pPr>
        <w:pStyle w:val="Compact"/>
        <w:numPr>
          <w:ilvl w:val="0"/>
          <w:numId w:val="1001"/>
        </w:numPr>
      </w:pPr>
      <w:r>
        <w:t xml:space="preserve">Jonsson T, et al. </w:t>
      </w:r>
      <w:r>
        <w:rPr>
          <w:i/>
          <w:iCs/>
        </w:rPr>
        <w:t xml:space="preserve">Nature.</w:t>
      </w:r>
      <w:r>
        <w:t xml:space="preserve"> </w:t>
      </w:r>
      <w:r>
        <w:t xml:space="preserve">2012;488:96–99.</w:t>
      </w:r>
      <w:r>
        <w:t xml:space="preserve"> </w:t>
      </w:r>
      <w:hyperlink r:id="rId13">
        <w:r>
          <w:rPr>
            <w:rStyle w:val="Hyperlink"/>
          </w:rPr>
          <w:t xml:space="preserve">doi:10.1038/nature11283</w:t>
        </w:r>
      </w:hyperlink>
    </w:p>
    <w:p>
      <w:pPr>
        <w:pStyle w:val="Compact"/>
        <w:numPr>
          <w:ilvl w:val="0"/>
          <w:numId w:val="1001"/>
        </w:numPr>
      </w:pPr>
      <w:r>
        <w:t xml:space="preserve">Kennedy ME, et al. </w:t>
      </w:r>
      <w:r>
        <w:rPr>
          <w:i/>
          <w:iCs/>
        </w:rPr>
        <w:t xml:space="preserve">Sci Transl Med.</w:t>
      </w:r>
      <w:r>
        <w:t xml:space="preserve"> </w:t>
      </w:r>
      <w:r>
        <w:t xml:space="preserve">2016;8:363ra150; Egan MF, et al. </w:t>
      </w:r>
      <w:r>
        <w:rPr>
          <w:i/>
          <w:iCs/>
        </w:rPr>
        <w:t xml:space="preserve">N Engl J Med.</w:t>
      </w:r>
      <w:r>
        <w:t xml:space="preserve"> </w:t>
      </w:r>
      <w:r>
        <w:t xml:space="preserve">2018 and 2019.</w:t>
      </w:r>
    </w:p>
    <w:p>
      <w:pPr>
        <w:pStyle w:val="Compact"/>
        <w:numPr>
          <w:ilvl w:val="0"/>
          <w:numId w:val="1001"/>
        </w:numPr>
      </w:pPr>
      <w:r>
        <w:t xml:space="preserve">Pratsch K, et al. </w:t>
      </w:r>
      <w:r>
        <w:rPr>
          <w:i/>
          <w:iCs/>
        </w:rPr>
        <w:t xml:space="preserve">Int J Mol Sci.</w:t>
      </w:r>
      <w:r>
        <w:t xml:space="preserve"> </w:t>
      </w:r>
      <w:r>
        <w:t xml:space="preserve">2023;24:12283.</w:t>
      </w:r>
      <w:r>
        <w:t xml:space="preserve"> </w:t>
      </w:r>
      <w:hyperlink r:id="rId14">
        <w:r>
          <w:rPr>
            <w:rStyle w:val="Hyperlink"/>
          </w:rPr>
          <w:t xml:space="preserve">doi:10.3390/ijms241512283</w:t>
        </w:r>
      </w:hyperlink>
    </w:p>
    <w:p>
      <w:pPr>
        <w:pStyle w:val="Compact"/>
        <w:numPr>
          <w:ilvl w:val="0"/>
          <w:numId w:val="1001"/>
        </w:numPr>
      </w:pPr>
      <w:r>
        <w:t xml:space="preserve">Pigoni M, et al. </w:t>
      </w:r>
      <w:r>
        <w:rPr>
          <w:i/>
          <w:iCs/>
        </w:rPr>
        <w:t xml:space="preserve">Mol Neurodegener.</w:t>
      </w:r>
      <w:r>
        <w:t xml:space="preserve"> </w:t>
      </w:r>
      <w:r>
        <w:t xml:space="preserve">2016;11:67.</w:t>
      </w:r>
    </w:p>
    <w:p>
      <w:pPr>
        <w:pStyle w:val="Compact"/>
        <w:numPr>
          <w:ilvl w:val="0"/>
          <w:numId w:val="1001"/>
        </w:numPr>
      </w:pPr>
      <w:r>
        <w:t xml:space="preserve">Campagna J, et al. </w:t>
      </w:r>
      <w:r>
        <w:rPr>
          <w:i/>
          <w:iCs/>
        </w:rPr>
        <w:t xml:space="preserve">Neurotherapeutics.</w:t>
      </w:r>
      <w:r>
        <w:t xml:space="preserve"> </w:t>
      </w:r>
      <w:r>
        <w:t xml:space="preserve">2025;e00610.</w:t>
      </w:r>
      <w:r>
        <w:t xml:space="preserve"> </w:t>
      </w:r>
      <w:hyperlink r:id="rId15">
        <w:r>
          <w:rPr>
            <w:rStyle w:val="Hyperlink"/>
          </w:rPr>
          <w:t xml:space="preserve">doi:10.1016/j.neurot.2025.e00610</w:t>
        </w:r>
      </w:hyperlink>
    </w:p>
    <w:p>
      <w:pPr>
        <w:pStyle w:val="Compact"/>
        <w:numPr>
          <w:ilvl w:val="0"/>
          <w:numId w:val="1001"/>
        </w:numPr>
      </w:pPr>
      <w:r>
        <w:t xml:space="preserve">May 2011</w:t>
      </w:r>
      <w:r>
        <w:t xml:space="preserve"> </w:t>
      </w:r>
      <w:r>
        <w:rPr>
          <w:i/>
          <w:iCs/>
        </w:rPr>
        <w:t xml:space="preserve">J Neurosci</w:t>
      </w:r>
      <w:r>
        <w:t xml:space="preserve">; Zuhl 2016</w:t>
      </w:r>
      <w:r>
        <w:t xml:space="preserve"> </w:t>
      </w:r>
      <w:r>
        <w:rPr>
          <w:i/>
          <w:iCs/>
        </w:rPr>
        <w:t xml:space="preserve">Nat Commun</w:t>
      </w:r>
      <w:r>
        <w:t xml:space="preserve"> </w:t>
      </w:r>
      <w:r>
        <w:t xml:space="preserve">(CatD/retina); May 2015</w:t>
      </w:r>
      <w:r>
        <w:t xml:space="preserve"> </w:t>
      </w:r>
      <w:r>
        <w:rPr>
          <w:i/>
          <w:iCs/>
        </w:rPr>
        <w:t xml:space="preserve">J Neurosci</w:t>
      </w:r>
      <w:r>
        <w:t xml:space="preserve"> </w:t>
      </w:r>
      <w:r>
        <w:t xml:space="preserve">and Lilly 2013 PR (LY2886721 liver).</w:t>
      </w:r>
    </w:p>
    <w:p>
      <w:pPr>
        <w:pStyle w:val="Compact"/>
        <w:numPr>
          <w:ilvl w:val="0"/>
          <w:numId w:val="1001"/>
        </w:numPr>
      </w:pPr>
      <w:r>
        <w:t xml:space="preserve">CSF pharmacoproteomics of clinical BACE inhibitors:</w:t>
      </w:r>
      <w:r>
        <w:t xml:space="preserve"> </w:t>
      </w:r>
      <w:hyperlink r:id="rId16">
        <w:r>
          <w:rPr>
            <w:rStyle w:val="Hyperlink"/>
          </w:rPr>
          <w:t xml:space="preserve">doi:10.1002/alz.082943</w:t>
        </w:r>
      </w:hyperlink>
    </w:p>
    <w:p>
      <w:pPr>
        <w:pStyle w:val="Compact"/>
        <w:numPr>
          <w:ilvl w:val="0"/>
          <w:numId w:val="1001"/>
        </w:numPr>
      </w:pPr>
      <w:r>
        <w:t xml:space="preserve">van Dyck 2023</w:t>
      </w:r>
      <w:r>
        <w:t xml:space="preserve"> </w:t>
      </w:r>
      <w:r>
        <w:rPr>
          <w:i/>
          <w:iCs/>
        </w:rPr>
        <w:t xml:space="preserve">NEJM</w:t>
      </w:r>
      <w:r>
        <w:t xml:space="preserve"> </w:t>
      </w:r>
      <w:r>
        <w:t xml:space="preserve">(lecanemab); Sims 2023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(donanemab).</w:t>
      </w:r>
    </w:p>
    <w:p>
      <w:pPr>
        <w:pStyle w:val="Compact"/>
        <w:numPr>
          <w:ilvl w:val="0"/>
          <w:numId w:val="1001"/>
        </w:numPr>
      </w:pPr>
      <w:r>
        <w:t xml:space="preserve">Tariot PN, et al. </w:t>
      </w:r>
      <w:r>
        <w:rPr>
          <w:i/>
          <w:iCs/>
        </w:rPr>
        <w:t xml:space="preserve">Alzheimers Dement.</w:t>
      </w:r>
      <w:r>
        <w:t xml:space="preserve"> </w:t>
      </w:r>
      <w:r>
        <w:t xml:space="preserve">2025;21:e14237.</w:t>
      </w:r>
    </w:p>
    <w:p>
      <w:pPr>
        <w:pStyle w:val="Compact"/>
        <w:numPr>
          <w:ilvl w:val="0"/>
          <w:numId w:val="1001"/>
        </w:numPr>
      </w:pPr>
      <w:r>
        <w:t xml:space="preserve">Wager TT, et al. </w:t>
      </w:r>
      <w:r>
        <w:rPr>
          <w:i/>
          <w:iCs/>
        </w:rPr>
        <w:t xml:space="preserve">ACS Chem Neurosci.</w:t>
      </w:r>
      <w:r>
        <w:t xml:space="preserve"> </w:t>
      </w:r>
      <w:r>
        <w:t xml:space="preserve">2010;1:435–449.</w:t>
      </w:r>
      <w:r>
        <w:t xml:space="preserve"> </w:t>
      </w:r>
      <w:hyperlink r:id="rId17">
        <w:r>
          <w:rPr>
            <w:rStyle w:val="Hyperlink"/>
          </w:rPr>
          <w:t xml:space="preserve">doi:10.1021/cn100008c</w:t>
        </w:r>
      </w:hyperlink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doi.org/10.1002/alz.082943" TargetMode="External" /><Relationship Type="http://schemas.openxmlformats.org/officeDocument/2006/relationships/hyperlink" Id="rId15" Target="https://doi.org/10.1016/j.neurot.2025.e00610" TargetMode="External" /><Relationship Type="http://schemas.openxmlformats.org/officeDocument/2006/relationships/hyperlink" Id="rId17" Target="https://doi.org/10.1021/cn100008c" TargetMode="External" /><Relationship Type="http://schemas.openxmlformats.org/officeDocument/2006/relationships/hyperlink" Id="rId13" Target="https://doi.org/10.1038/nature11283" TargetMode="External" /><Relationship Type="http://schemas.openxmlformats.org/officeDocument/2006/relationships/hyperlink" Id="rId14" Target="https://doi.org/10.3390/ijms24151228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doi.org/10.1002/alz.082943" TargetMode="External" /><Relationship Type="http://schemas.openxmlformats.org/officeDocument/2006/relationships/hyperlink" Id="rId15" Target="https://doi.org/10.1016/j.neurot.2025.e00610" TargetMode="External" /><Relationship Type="http://schemas.openxmlformats.org/officeDocument/2006/relationships/hyperlink" Id="rId17" Target="https://doi.org/10.1021/cn100008c" TargetMode="External" /><Relationship Type="http://schemas.openxmlformats.org/officeDocument/2006/relationships/hyperlink" Id="rId13" Target="https://doi.org/10.1038/nature11283" TargetMode="External" /><Relationship Type="http://schemas.openxmlformats.org/officeDocument/2006/relationships/hyperlink" Id="rId14" Target="https://doi.org/10.3390/ijms24151228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BACE1 inhibitor: next steps that can actually succeed</dc:title>
  <dc:creator>BACE1_Discovery canvas (print of all tabs)</dc:creator>
  <cp:keywords/>
  <dcterms:created xsi:type="dcterms:W3CDTF">2026-09-18T04:27:47Z</dcterms:created>
  <dcterms:modified xsi:type="dcterms:W3CDTF">2026-09-18T04:27:47Z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2026-09-18</vt:lpwstr>
  </property>
  <property fmtid="{D5CDD505-2E9C-101B-9397-08002B2CF9AE}" pid="4" name="fontsize">
    <vt:lpwstr>10pt</vt:lpwstr>
  </property>
  <property fmtid="{D5CDD505-2E9C-101B-9397-08002B2CF9AE}" pid="5" name="geometry">
    <vt:lpwstr>margin=0.85in</vt:lpwstr>
  </property>
  <property fmtid="{D5CDD505-2E9C-101B-9397-08002B2CF9AE}" pid="6" name="header-includes">
    <vt:lpwstr/>
  </property>
  <property fmtid="{D5CDD505-2E9C-101B-9397-08002B2CF9AE}" pid="7" name="linkcolor">
    <vt:lpwstr>blue</vt:lpwstr>
  </property>
  <property fmtid="{D5CDD505-2E9C-101B-9397-08002B2CF9AE}" pid="8" name="mainfont">
    <vt:lpwstr>Noto Sans</vt:lpwstr>
  </property>
  <property fmtid="{D5CDD505-2E9C-101B-9397-08002B2CF9AE}" pid="9" name="urlcolor">
    <vt:lpwstr>blue</vt:lpwstr>
  </property>
</Properties>
</file>