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chemist playbook: clinic-viable BACE1</w:t>
      </w:r>
    </w:p>
    <w:p>
      <w:pPr>
        <w:pStyle w:val="Author"/>
      </w:pPr>
      <w:r>
        <w:t xml:space="preserve">BACE1_Discovery canvas (print of all tabs)</w:t>
      </w:r>
    </w:p>
    <w:p>
      <w:pPr>
        <w:pStyle w:val="Date"/>
      </w:pPr>
      <w:r>
        <w:t xml:space="preserve">2026-09-18</w:t>
      </w:r>
    </w:p>
    <w:p>
      <w:pPr>
        <w:pStyle w:val="FirstParagraph"/>
      </w:pPr>
      <w:r>
        <w:t xml:space="preserve">Your job is not another catalytic IC50. It is to find a ligand that lowers APP β-cleavage 20–40% while leaving SEZ6/NRG1/CHL1/gp130 intact, with CNS-like ADMET. Most published BACE1 docking papers optimize the binding mode that already failed Phase 3.</w:t>
      </w:r>
    </w:p>
    <w:p>
      <w:pPr>
        <w:pStyle w:val="BodyText"/>
      </w:pPr>
      <w:r>
        <w:rPr>
          <w:b/>
          <w:bCs/>
        </w:rPr>
        <w:t xml:space="preserve">Do not start here:</w:t>
      </w:r>
      <w:r>
        <w:t xml:space="preserve"> </w:t>
      </w:r>
      <w:r>
        <w:t xml:space="preserve">virtual screening of the OM99-2 / Asp32–Asp228 site, FEP on verubecestat analogs, or a generative model trained on ChEMBL BACE1 IC50.</w:t>
      </w:r>
    </w:p>
    <w:bookmarkStart w:id="9" w:name="project-portfolio"/>
    <w:p>
      <w:pPr>
        <w:pStyle w:val="Heading1"/>
      </w:pPr>
      <w:r>
        <w:t xml:space="preserve">1. Project portfolio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Core computation</w:t>
            </w:r>
          </w:p>
        </w:tc>
        <w:tc>
          <w:tcPr/>
          <w:p>
            <w:pPr>
              <w:pStyle w:val="Compact"/>
            </w:pPr>
            <w:r>
              <w:t xml:space="preserve">Success look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P0-A</w:t>
            </w:r>
          </w:p>
        </w:tc>
        <w:tc>
          <w:tcPr/>
          <w:p>
            <w:pPr>
              <w:pStyle w:val="Compact"/>
            </w:pPr>
            <w:r>
              <w:t xml:space="preserve">Substrate atlas</w:t>
            </w:r>
          </w:p>
        </w:tc>
        <w:tc>
          <w:tcPr/>
          <w:p>
            <w:pPr>
              <w:pStyle w:val="Compact"/>
            </w:pPr>
            <w:r>
              <w:t xml:space="preserve">Do first</w:t>
            </w:r>
          </w:p>
        </w:tc>
        <w:tc>
          <w:tcPr/>
          <w:p>
            <w:pPr>
              <w:pStyle w:val="Compact"/>
            </w:pPr>
            <w:r>
              <w:t xml:space="preserve">AF3/Boltz + MD of BACE1 with APP WT/Swe/A673T/A673V vs SEZ6, NRG1, CHL1, gp130 at pH 4.5</w:t>
            </w:r>
          </w:p>
        </w:tc>
        <w:tc>
          <w:tcPr/>
          <w:p>
            <w:pPr>
              <w:pStyle w:val="Compact"/>
            </w:pPr>
            <w:r>
              <w:t xml:space="preserve">APP-unique contacts and waters SEZ6 does not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P0-B</w:t>
            </w:r>
          </w:p>
        </w:tc>
        <w:tc>
          <w:tcPr/>
          <w:p>
            <w:pPr>
              <w:pStyle w:val="Compact"/>
            </w:pPr>
            <w:r>
              <w:t xml:space="preserve">Icelandic mimic</w:t>
            </w:r>
          </w:p>
        </w:tc>
        <w:tc>
          <w:tcPr/>
          <w:p>
            <w:pPr>
              <w:pStyle w:val="Compact"/>
            </w:pPr>
            <w:r>
              <w:t xml:space="preserve">Do first</w:t>
            </w:r>
          </w:p>
        </w:tc>
        <w:tc>
          <w:tcPr/>
          <w:p>
            <w:pPr>
              <w:pStyle w:val="Compact"/>
            </w:pPr>
            <w:r>
              <w:t xml:space="preserve">QM/MM and FEP on P2′ Ala vs Thr vs Val; favor β′ (Glu11) over β (Asp1) on APP only</w:t>
            </w:r>
          </w:p>
        </w:tc>
        <w:tc>
          <w:tcPr/>
          <w:p>
            <w:pPr>
              <w:pStyle w:val="Compact"/>
            </w:pPr>
            <w:r>
              <w:t xml:space="preserve">Shift C99→C89 in silico; SEZ6 geometry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P0-C</w:t>
            </w:r>
          </w:p>
        </w:tc>
        <w:tc>
          <w:tcPr/>
          <w:p>
            <w:pPr>
              <w:pStyle w:val="Compact"/>
            </w:pPr>
            <w:r>
              <w:t xml:space="preserve">APP–BACE1 PPI / ASBI screen</w:t>
            </w:r>
          </w:p>
        </w:tc>
        <w:tc>
          <w:tcPr/>
          <w:p>
            <w:pPr>
              <w:pStyle w:val="Compact"/>
            </w:pPr>
            <w:r>
              <w:t xml:space="preserve">Do first</w:t>
            </w:r>
          </w:p>
        </w:tc>
        <w:tc>
          <w:tcPr/>
          <w:p>
            <w:pPr>
              <w:pStyle w:val="Compact"/>
            </w:pPr>
            <w:r>
              <w:t xml:space="preserve">Hotspots on APP juxta + BACE1 loops; VS for dual binders (FAH65-like)</w:t>
            </w:r>
          </w:p>
        </w:tc>
        <w:tc>
          <w:tcPr/>
          <w:p>
            <w:pPr>
              <w:pStyle w:val="Compact"/>
            </w:pPr>
            <w:r>
              <w:t xml:space="preserve">Docked to APP or encounter complex; displaced by APP peptide, not OM99-2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P1-D</w:t>
            </w:r>
          </w:p>
        </w:tc>
        <w:tc>
          <w:tcPr/>
          <w:p>
            <w:pPr>
              <w:pStyle w:val="Compact"/>
            </w:pPr>
            <w:r>
              <w:t xml:space="preserve">Exosite small molecules</w:t>
            </w:r>
          </w:p>
        </w:tc>
        <w:tc>
          <w:tcPr/>
          <w:p>
            <w:pPr>
              <w:pStyle w:val="Compact"/>
            </w:pPr>
            <w:r>
              <w:t xml:space="preserve">Second</w:t>
            </w:r>
          </w:p>
        </w:tc>
        <w:tc>
          <w:tcPr/>
          <w:p>
            <w:pPr>
              <w:pStyle w:val="Compact"/>
            </w:pPr>
            <w:r>
              <w:t xml:space="preserve">3R1G Fab epitope; VS + MD allostery</w:t>
            </w:r>
          </w:p>
        </w:tc>
        <w:tc>
          <w:tcPr/>
          <w:p>
            <w:pPr>
              <w:pStyle w:val="Compact"/>
            </w:pPr>
            <w:r>
              <w:t xml:space="preserve">Flap/10s motion that hurts APP more than SEZ6 — must 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P1-E</w:t>
            </w:r>
          </w:p>
        </w:tc>
        <w:tc>
          <w:tcPr/>
          <w:p>
            <w:pPr>
              <w:pStyle w:val="Compact"/>
            </w:pPr>
            <w:r>
              <w:t xml:space="preserve">Anti-target filters</w:t>
            </w:r>
          </w:p>
        </w:tc>
        <w:tc>
          <w:tcPr/>
          <w:p>
            <w:pPr>
              <w:pStyle w:val="Compact"/>
            </w:pPr>
            <w:r>
              <w:t xml:space="preserve">Always on</w:t>
            </w:r>
          </w:p>
        </w:tc>
        <w:tc>
          <w:tcPr/>
          <w:p>
            <w:pPr>
              <w:pStyle w:val="Compact"/>
            </w:pPr>
            <w:r>
              <w:t xml:space="preserve">BACE2, CatD, pepsin, renin; P-gp; CNS MPO</w:t>
            </w:r>
          </w:p>
        </w:tc>
        <w:tc>
          <w:tcPr/>
          <w:p>
            <w:pPr>
              <w:pStyle w:val="Compact"/>
            </w:pPr>
            <w:r>
              <w:t xml:space="preserve">CatD inactive; BACE2 ≫ 30×; not efflux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P1-F</w:t>
            </w:r>
          </w:p>
        </w:tc>
        <w:tc>
          <w:tcPr/>
          <w:p>
            <w:pPr>
              <w:pStyle w:val="Compact"/>
            </w:pPr>
            <w:r>
              <w:t xml:space="preserve">Low-dose catalytic backup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Occupancy–PD for 30% Aβ, not 80%</w:t>
            </w:r>
          </w:p>
        </w:tc>
        <w:tc>
          <w:tcPr/>
          <w:p>
            <w:pPr>
              <w:pStyle w:val="Compact"/>
            </w:pPr>
            <w:r>
              <w:t xml:space="preserve">Only if P0 fails and sSEZ6 ≥70% at that occupancy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P2-G</w:t>
            </w:r>
          </w:p>
        </w:tc>
        <w:tc>
          <w:tcPr/>
          <w:p>
            <w:pPr>
              <w:pStyle w:val="Compact"/>
            </w:pPr>
            <w:r>
              <w:t xml:space="preserve">Membrane encounter</w:t>
            </w:r>
          </w:p>
        </w:tc>
        <w:tc>
          <w:tcPr/>
          <w:p>
            <w:pPr>
              <w:pStyle w:val="Compact"/>
            </w:pPr>
            <w:r>
              <w:t xml:space="preserve">Later</w:t>
            </w:r>
          </w:p>
        </w:tc>
        <w:tc>
          <w:tcPr/>
          <w:p>
            <w:pPr>
              <w:pStyle w:val="Compact"/>
            </w:pPr>
            <w:r>
              <w:t xml:space="preserve">CG then AT MD, endosome-like bilayer, pH 4.5</w:t>
            </w:r>
          </w:p>
        </w:tc>
        <w:tc>
          <w:tcPr/>
          <w:p>
            <w:pPr>
              <w:pStyle w:val="Compact"/>
            </w:pPr>
            <w:r>
              <w:t xml:space="preserve">Poses that block APP recruitment, not the scissile bond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P2-H</w:t>
            </w:r>
          </w:p>
        </w:tc>
        <w:tc>
          <w:tcPr/>
          <w:p>
            <w:pPr>
              <w:pStyle w:val="Compact"/>
            </w:pPr>
            <w:r>
              <w:t xml:space="preserve">Generative on the wrong site</w:t>
            </w:r>
          </w:p>
        </w:tc>
        <w:tc>
          <w:tcPr/>
          <w:p>
            <w:pPr>
              <w:pStyle w:val="Compact"/>
            </w:pPr>
            <w:r>
              <w:t xml:space="preserve">Avoid as primary</w:t>
            </w:r>
          </w:p>
        </w:tc>
        <w:tc>
          <w:tcPr/>
          <w:p>
            <w:pPr>
              <w:pStyle w:val="Compact"/>
            </w:pPr>
            <w:r>
              <w:t xml:space="preserve">REINVENT/diffusion on ChEMBL BACE1 actives</w:t>
            </w:r>
          </w:p>
        </w:tc>
        <w:tc>
          <w:tcPr/>
          <w:p>
            <w:pPr>
              <w:pStyle w:val="Compact"/>
            </w:pPr>
            <w:r>
              <w:t xml:space="preserve">Will reinvent verubecestat unless APP-selective reward + catalytic penalty</w:t>
            </w:r>
          </w:p>
        </w:tc>
      </w:tr>
    </w:tbl>
    <w:p>
      <w:pPr>
        <w:pStyle w:val="BodyText"/>
      </w:pPr>
      <w:r>
        <w:t xml:space="preserve">This week: curate 1FKN / 3R1G / flap-open apo / BACE2 / CatD / APP C99; Asp32/Asp228 at pH 4.5; 8–15-mer peptides; AF3 complexes; dock clinical catalytics as negative fingerprints; fpocket/FTMap tagged catalytic vs exosite vs PPI.</w:t>
      </w:r>
    </w:p>
    <w:bookmarkEnd w:id="9"/>
    <w:bookmarkStart w:id="10" w:name="master-workflow-four-filters"/>
    <w:p>
      <w:pPr>
        <w:pStyle w:val="Heading1"/>
      </w:pPr>
      <w:r>
        <w:t xml:space="preserve">2. Master workflow (four filters)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Binding-mode.</w:t>
      </w:r>
      <w:r>
        <w:t xml:space="preserve"> </w:t>
      </w:r>
      <w:r>
        <w:t xml:space="preserve">Pose on APP, APP–BACE1 interface, or 3R1G exosite. If it overlaps OM99-2 / catalytic water / Asp dyad, it is a low-dose backup. Checks: RMSD to 1FKN ligand &gt; 3 Å; no H-bond to both Asp32 and Asp228; noncompetitive vs OM99-2.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Substrate-selectivity.</w:t>
      </w:r>
      <w:r>
        <w:t xml:space="preserve"> </w:t>
      </w:r>
      <w:r>
        <w:t xml:space="preserve">MM-GBSA / FEP / PELE on BACE1–APP vs BACE1–SEZ6/NRG1. Target ΔΔG (APP vs SEZ6) ≥ 2 kcal/mol. If both blocked, it is verubecestat with extra steps.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Anti-target.</w:t>
      </w:r>
      <w:r>
        <w:t xml:space="preserve"> </w:t>
      </w:r>
      <w:r>
        <w:t xml:space="preserve">Same pose family into BACE2 and CatD. Retinal CatD killed LY2811376. Pass: predicted CatD Ki &gt; 10 μM; BACE1/BACE2 ≥ 30×.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CNS developability.</w:t>
      </w:r>
      <w:r>
        <w:t xml:space="preserve"> </w:t>
      </w:r>
      <w:r>
        <w:t xml:space="preserve">CNS MPO ≥ 4, MW &lt; 450, TPSA 40–90, cLogP 2–4, HBD ≤ 2, P-gp non-substrate. Also hERG, CYP3A4 TDI, hepatotox alerts (atabecestat/LY2886721/RG7129).</w:t>
      </w:r>
    </w:p>
    <w:p>
      <w:pPr>
        <w:pStyle w:val="FirstParagraph"/>
      </w:pPr>
      <w:r>
        <w:rPr>
          <w:b/>
          <w:bCs/>
        </w:rPr>
        <w:t xml:space="preserve">Method stack.</w:t>
      </w:r>
      <w:r>
        <w:t xml:space="preserve"> </w:t>
      </w:r>
      <w:r>
        <w:t xml:space="preserve">AF3/Boltz/HADDOCK; fpocket/FTMap/SiteMap; GNINA/rDock/Glide ensemble (flap-open and closed); OpenMM/GROMACS 3×500 ns pH 4.5; ABFE/RBFE on APP vs SEZ6; QM/MM gem-diol for WT/A673T/Swe/SEZ6; ML must penalize ChEMBL BACE1 actives; ADMET before buying.</w:t>
      </w:r>
    </w:p>
    <w:p>
      <w:pPr>
        <w:pStyle w:val="BodyText"/>
      </w:pPr>
      <w:r>
        <w:t xml:space="preserve">BACE1 works in endosomes. Dyad protonation at pH 4.5–5.0 ≠ pH 7.4. Report interface screens at both.</w:t>
      </w:r>
    </w:p>
    <w:bookmarkEnd w:id="10"/>
    <w:bookmarkStart w:id="11" w:name="structures-and-models"/>
    <w:p>
      <w:pPr>
        <w:pStyle w:val="Heading1"/>
      </w:pPr>
      <w:r>
        <w:t xml:space="preserve">3. Structures and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PDB / source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BACE1 + OM99-2</w:t>
            </w:r>
          </w:p>
        </w:tc>
        <w:tc>
          <w:tcPr/>
          <w:p>
            <w:pPr>
              <w:pStyle w:val="Compact"/>
            </w:pPr>
            <w:r>
              <w:t xml:space="preserve">1FKN</w:t>
            </w:r>
          </w:p>
        </w:tc>
        <w:tc>
          <w:tcPr/>
          <w:p>
            <w:pPr>
              <w:pStyle w:val="Compact"/>
            </w:pPr>
            <w:r>
              <w:t xml:space="preserve">Anti-target fingerprint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catalytics</w:t>
            </w:r>
          </w:p>
        </w:tc>
        <w:tc>
          <w:tcPr/>
          <w:p>
            <w:pPr>
              <w:pStyle w:val="Compact"/>
            </w:pPr>
            <w:r>
              <w:t xml:space="preserve">verubecestat, lanabecestat, elenbecestat co-crystals</w:t>
            </w:r>
          </w:p>
        </w:tc>
        <w:tc>
          <w:tcPr/>
          <w:p>
            <w:pPr>
              <w:pStyle w:val="Compact"/>
            </w:pPr>
            <w:r>
              <w:t xml:space="preserve">Negative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Apo flap open/closed</w:t>
            </w:r>
          </w:p>
        </w:tc>
        <w:tc>
          <w:tcPr/>
          <w:p>
            <w:pPr>
              <w:pStyle w:val="Compact"/>
            </w:pPr>
            <w:r>
              <w:t xml:space="preserve">1W50 + MD ensemble</w:t>
            </w:r>
          </w:p>
        </w:tc>
        <w:tc>
          <w:tcPr/>
          <w:p>
            <w:pPr>
              <w:pStyle w:val="Compact"/>
            </w:pPr>
            <w:r>
              <w:t xml:space="preserve">Ensemble docking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Exosite Fab</w:t>
            </w:r>
          </w:p>
        </w:tc>
        <w:tc>
          <w:tcPr/>
          <w:p>
            <w:pPr>
              <w:pStyle w:val="Compact"/>
            </w:pPr>
            <w:r>
              <w:t xml:space="preserve">3R1G</w:t>
            </w:r>
          </w:p>
        </w:tc>
        <w:tc>
          <w:tcPr/>
          <w:p>
            <w:pPr>
              <w:pStyle w:val="Compact"/>
            </w:pPr>
            <w:r>
              <w:t xml:space="preserve">Allosteric pharmacophore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BACE2</w:t>
            </w:r>
          </w:p>
        </w:tc>
        <w:tc>
          <w:tcPr/>
          <w:p>
            <w:pPr>
              <w:pStyle w:val="Compact"/>
            </w:pPr>
            <w:r>
              <w:t xml:space="preserve">e.g. 2EWY</w:t>
            </w:r>
          </w:p>
        </w:tc>
        <w:tc>
          <w:tcPr/>
          <w:p>
            <w:pPr>
              <w:pStyle w:val="Compact"/>
            </w:pPr>
            <w:r>
              <w:t xml:space="preserve">PMEL / hair anti-target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Cathepsin D</w:t>
            </w:r>
          </w:p>
        </w:tc>
        <w:tc>
          <w:tcPr/>
          <w:p>
            <w:pPr>
              <w:pStyle w:val="Compact"/>
            </w:pPr>
            <w:r>
              <w:t xml:space="preserve">1LYB</w:t>
            </w:r>
          </w:p>
        </w:tc>
        <w:tc>
          <w:tcPr/>
          <w:p>
            <w:pPr>
              <w:pStyle w:val="Compact"/>
            </w:pPr>
            <w:r>
              <w:t xml:space="preserve">Retinal tox hard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C99 / β-site</w:t>
            </w:r>
          </w:p>
        </w:tc>
        <w:tc>
          <w:tcPr/>
          <w:p>
            <w:pPr>
              <w:pStyle w:val="Compact"/>
            </w:pPr>
            <w:r>
              <w:t xml:space="preserve">2LP1 NMR; WT, Swe, A673T, A673V</w:t>
            </w:r>
          </w:p>
        </w:tc>
        <w:tc>
          <w:tcPr/>
          <w:p>
            <w:pPr>
              <w:pStyle w:val="Compact"/>
            </w:pPr>
            <w:r>
              <w:t xml:space="preserve">On-target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SEZ6, NRG1, CHL1, gp130</w:t>
            </w:r>
          </w:p>
        </w:tc>
        <w:tc>
          <w:tcPr/>
          <w:p>
            <w:pPr>
              <w:pStyle w:val="Compact"/>
            </w:pPr>
            <w:r>
              <w:t xml:space="preserve">AF3 cleavage-site models</w:t>
            </w:r>
          </w:p>
        </w:tc>
        <w:tc>
          <w:tcPr/>
          <w:p>
            <w:pPr>
              <w:pStyle w:val="Compact"/>
            </w:pPr>
            <w:r>
              <w:t xml:space="preserve">Safety substrates</w:t>
            </w:r>
          </w:p>
        </w:tc>
      </w:tr>
    </w:tbl>
    <w:p>
      <w:pPr>
        <w:pStyle w:val="BodyText"/>
      </w:pPr>
      <w:r>
        <w:t xml:space="preserve">Registers: APP WT …VKM↓DAEFRHDS…; Swedish …VNL↓DAEF… (~60× better — do not overfit); A673T …VKM↓DTEF…; A673V pathogenic contrast; β′ …DAEFRH↓DSGY…; SEZ6 motif must not have a raised TS barrier.</w:t>
      </w:r>
    </w:p>
    <w:p>
      <w:pPr>
        <w:pStyle w:val="BodyText"/>
      </w:pPr>
      <w:r>
        <w:t xml:space="preserve">FAH65 has no public co-crystal. Treat as SAR seed; require dual recognition. If analogs collapse into the Asp dyad, the series is not APP-selective.</w:t>
      </w:r>
    </w:p>
    <w:bookmarkEnd w:id="11"/>
    <w:bookmarkStart w:id="12" w:name="comp-to-wet-lab"/>
    <w:p>
      <w:pPr>
        <w:pStyle w:val="Heading1"/>
      </w:pPr>
      <w:r>
        <w:t xml:space="preserve">4. Comp to wet lab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Your output</w:t>
            </w:r>
          </w:p>
        </w:tc>
        <w:tc>
          <w:tcPr/>
          <w:p>
            <w:pPr>
              <w:pStyle w:val="Compact"/>
            </w:pPr>
            <w:r>
              <w:t xml:space="preserve">Wet experiment</w:t>
            </w:r>
          </w:p>
        </w:tc>
        <w:tc>
          <w:tcPr/>
          <w:p>
            <w:pPr>
              <w:pStyle w:val="Compact"/>
            </w:pPr>
            <w:r>
              <w:t xml:space="preserve">Kill 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ASBI / PPI shortlist</w:t>
            </w:r>
          </w:p>
        </w:tc>
        <w:tc>
          <w:tcPr/>
          <w:p>
            <w:pPr>
              <w:pStyle w:val="Compact"/>
            </w:pPr>
            <w:r>
              <w:t xml:space="preserve">BACE1 × MBP-APP-C125 vs SEZ6 / NRG1 / PSGL1</w:t>
            </w:r>
          </w:p>
        </w:tc>
        <w:tc>
          <w:tcPr/>
          <w:p>
            <w:pPr>
              <w:pStyle w:val="Compact"/>
            </w:pPr>
            <w:r>
              <w:t xml:space="preserve">SEZ6 IC50 within 10× of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Predicted noncompetitive vs OM99-2</w:t>
            </w:r>
          </w:p>
        </w:tc>
        <w:tc>
          <w:tcPr/>
          <w:p>
            <w:pPr>
              <w:pStyle w:val="Compact"/>
            </w:pPr>
            <w:r>
              <w:t xml:space="preserve">SPR vs APP and BACE1; OM99-2 competition</w:t>
            </w:r>
          </w:p>
        </w:tc>
        <w:tc>
          <w:tcPr/>
          <w:p>
            <w:pPr>
              <w:pStyle w:val="Compact"/>
            </w:pPr>
            <w:r>
              <w:t xml:space="preserve">Competitive with OM99-2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 4.5 pose</w:t>
            </w:r>
          </w:p>
        </w:tc>
        <w:tc>
          <w:tcPr/>
          <w:p>
            <w:pPr>
              <w:pStyle w:val="Compact"/>
            </w:pPr>
            <w:r>
              <w:t xml:space="preserve">Neurons: sAPPβ, Aβ, sSEZ6, sCHL1, sgp130</w:t>
            </w:r>
          </w:p>
        </w:tc>
        <w:tc>
          <w:tcPr/>
          <w:p>
            <w:pPr>
              <w:pStyle w:val="Compact"/>
            </w:pPr>
            <w:r>
              <w:t xml:space="preserve">sSEZ6 falls with sAPPβ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CNS MPO / P-gp pass</w:t>
            </w:r>
          </w:p>
        </w:tc>
        <w:tc>
          <w:tcPr/>
          <w:p>
            <w:pPr>
              <w:pStyle w:val="Compact"/>
            </w:pPr>
            <w:r>
              <w:t xml:space="preserve">MDCK-MDR1, mouse Kp,uu</w:t>
            </w:r>
          </w:p>
        </w:tc>
        <w:tc>
          <w:tcPr/>
          <w:p>
            <w:pPr>
              <w:pStyle w:val="Compact"/>
            </w:pPr>
            <w:r>
              <w:t xml:space="preserve">Efflux or no free brain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CatD reject list</w:t>
            </w:r>
          </w:p>
        </w:tc>
        <w:tc>
          <w:tcPr/>
          <w:p>
            <w:pPr>
              <w:pStyle w:val="Compact"/>
            </w:pPr>
            <w:r>
              <w:t xml:space="preserve">CatD biochemical ± retinal explant</w:t>
            </w:r>
          </w:p>
        </w:tc>
        <w:tc>
          <w:tcPr/>
          <w:p>
            <w:pPr>
              <w:pStyle w:val="Compact"/>
            </w:pPr>
            <w:r>
              <w:t xml:space="preserve">LY2811376-like CatD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30% Aβ occupancy model</w:t>
            </w:r>
          </w:p>
        </w:tc>
        <w:tc>
          <w:tcPr/>
          <w:p>
            <w:pPr>
              <w:pStyle w:val="Compact"/>
            </w:pPr>
            <w:r>
              <w:t xml:space="preserve">7-day mouse PD</w:t>
            </w:r>
          </w:p>
        </w:tc>
        <w:tc>
          <w:tcPr/>
          <w:p>
            <w:pPr>
              <w:pStyle w:val="Compact"/>
            </w:pPr>
            <w:r>
              <w:t xml:space="preserve">Need 70% Aβ drop to see PD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Spine-safe prediction</w:t>
            </w:r>
          </w:p>
        </w:tc>
        <w:tc>
          <w:tcPr/>
          <w:p>
            <w:pPr>
              <w:pStyle w:val="Compact"/>
            </w:pPr>
            <w:r>
              <w:t xml:space="preserve">21-day two-photon at 20–40% Aβ</w:t>
            </w:r>
          </w:p>
        </w:tc>
        <w:tc>
          <w:tcPr/>
          <w:p>
            <w:pPr>
              <w:pStyle w:val="Compact"/>
            </w:pPr>
            <w:r>
              <w:t xml:space="preserve">Spine loss (sSEZ6 ~17%)</w:t>
            </w:r>
          </w:p>
        </w:tc>
      </w:tr>
    </w:tbl>
    <w:p>
      <w:pPr>
        <w:pStyle w:val="BodyText"/>
      </w:pPr>
      <w:r>
        <w:t xml:space="preserve">If you only run three campaigns: (1) APP vs SEZ6/NRG1 atlas at pH 4.5; (2) VS of APP-interface + 3R1G with catalytic poses auto-rejected; (3) FEP selectivity + CNS/CatD/BACE2, then 20 compounds to the neuronal panel.</w:t>
      </w:r>
    </w:p>
    <w:bookmarkEnd w:id="12"/>
    <w:bookmarkStart w:id="13" w:name="sources"/>
    <w:p>
      <w:pPr>
        <w:pStyle w:val="Heading1"/>
      </w:pPr>
      <w:r>
        <w:t xml:space="preserve">Sources</w:t>
      </w:r>
    </w:p>
    <w:p>
      <w:pPr>
        <w:pStyle w:val="FirstParagraph"/>
      </w:pPr>
      <w:r>
        <w:t xml:space="preserve">Hong 2000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(1FKN); Patel 2004</w:t>
      </w:r>
      <w:r>
        <w:t xml:space="preserve"> </w:t>
      </w:r>
      <w:r>
        <w:rPr>
          <w:i/>
          <w:iCs/>
        </w:rPr>
        <w:t xml:space="preserve">J Mol Biol</w:t>
      </w:r>
      <w:r>
        <w:t xml:space="preserve"> </w:t>
      </w:r>
      <w:r>
        <w:t xml:space="preserve">(1W50); Atwal 2011</w:t>
      </w:r>
      <w:r>
        <w:t xml:space="preserve"> </w:t>
      </w:r>
      <w:r>
        <w:rPr>
          <w:i/>
          <w:iCs/>
        </w:rPr>
        <w:t xml:space="preserve">Sci Transl Med</w:t>
      </w:r>
      <w:r>
        <w:t xml:space="preserve"> </w:t>
      </w:r>
      <w:r>
        <w:t xml:space="preserve">(3R1G); Barrett 2012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(2LP1). May 2011 / Zuhl 2016 (CatD). Rochin 2013 (BACE2/PMEL). Jonsson 2012; Pigoni 2016; Willem 2006; Kuhn 2012; Pratsch 2023. Campagna 2025 (FAH65). Wager 2010 (CNS MPO). Tian 2020 (ff19SB). Olsson 2011 (PROPKA3). Egan 2018/2019; Wessels 2020 (clinical negative controls).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chemist playbook: clinic-viable BACE1</dc:title>
  <dc:creator>BACE1_Discovery canvas (print of all tabs)</dc:creator>
  <cp:keywords/>
  <dcterms:created xsi:type="dcterms:W3CDTF">2026-09-18T04:27:47Z</dcterms:created>
  <dcterms:modified xsi:type="dcterms:W3CDTF">2026-09-18T04:27:47Z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2026-09-18</vt:lpwstr>
  </property>
  <property fmtid="{D5CDD505-2E9C-101B-9397-08002B2CF9AE}" pid="4" name="fontsize">
    <vt:lpwstr>10pt</vt:lpwstr>
  </property>
  <property fmtid="{D5CDD505-2E9C-101B-9397-08002B2CF9AE}" pid="5" name="geometry">
    <vt:lpwstr>margin=0.85in</vt:lpwstr>
  </property>
  <property fmtid="{D5CDD505-2E9C-101B-9397-08002B2CF9AE}" pid="6" name="header-includes">
    <vt:lpwstr/>
  </property>
  <property fmtid="{D5CDD505-2E9C-101B-9397-08002B2CF9AE}" pid="7" name="linkcolor">
    <vt:lpwstr>blue</vt:lpwstr>
  </property>
  <property fmtid="{D5CDD505-2E9C-101B-9397-08002B2CF9AE}" pid="8" name="mainfont">
    <vt:lpwstr>Noto Sans</vt:lpwstr>
  </property>
  <property fmtid="{D5CDD505-2E9C-101B-9397-08002B2CF9AE}" pid="9" name="urlcolor">
    <vt:lpwstr>blue</vt:lpwstr>
  </property>
</Properties>
</file>