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P0-A / P0-B / P0-C: step-by-step computational protocols</w:t>
      </w:r>
    </w:p>
    <w:p>
      <w:pPr>
        <w:pStyle w:val="Author"/>
      </w:pPr>
      <w:r>
        <w:t xml:space="preserve">BACE1_Discovery canvas (print of all tabs)</w:t>
      </w:r>
    </w:p>
    <w:p>
      <w:pPr>
        <w:pStyle w:val="Date"/>
      </w:pPr>
      <w:r>
        <w:t xml:space="preserve">2026-09-18</w:t>
      </w:r>
    </w:p>
    <w:p>
      <w:pPr>
        <w:pStyle w:val="FirstParagraph"/>
      </w:pPr>
      <w:r>
        <w:t xml:space="preserve">Shared BACE1 preparation first, then three independent workflows. Residue numbering is mature BACE1 (Asp32 / Asp228). Run production MD at endosomal pH 4.5 unless a step says otherwise.</w:t>
      </w:r>
    </w:p>
    <w:p>
      <w:pPr>
        <w:pStyle w:val="BodyText"/>
      </w:pPr>
      <w:r>
        <w:rPr>
          <w:b/>
          <w:bCs/>
        </w:rPr>
        <w:t xml:space="preserve">Order.</w:t>
      </w:r>
      <w:r>
        <w:t xml:space="preserve"> </w:t>
      </w:r>
      <w:r>
        <w:t xml:space="preserve">Finish Shared + P0-A through MD clustering before P0-B QM/MM or P0-C virtual screening. Do not dock the catalytic dyad as the P0-C pocket.</w:t>
      </w:r>
    </w:p>
    <w:bookmarkStart w:id="9" w:name="shared-prep"/>
    <w:p>
      <w:pPr>
        <w:pStyle w:val="Heading1"/>
      </w:pPr>
      <w:r>
        <w:t xml:space="preserve">0. Shared prep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PDB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1W50 (1.75 Å, apo)</w:t>
            </w:r>
          </w:p>
        </w:tc>
        <w:tc>
          <w:tcPr/>
          <w:p>
            <w:pPr>
              <w:pStyle w:val="Compact"/>
            </w:pPr>
            <w:r>
              <w:t xml:space="preserve">Flap-open</w:t>
            </w:r>
          </w:p>
        </w:tc>
        <w:tc>
          <w:tcPr/>
          <w:p>
            <w:pPr>
              <w:pStyle w:val="Compact"/>
            </w:pPr>
            <w:r>
              <w:t xml:space="preserve">Primary receptor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1FKN (OM99-2)</w:t>
            </w:r>
          </w:p>
        </w:tc>
        <w:tc>
          <w:tcPr/>
          <w:p>
            <w:pPr>
              <w:pStyle w:val="Compact"/>
            </w:pPr>
            <w:r>
              <w:t xml:space="preserve">Closed flap + catalytic fingerprint</w:t>
            </w:r>
          </w:p>
        </w:tc>
        <w:tc>
          <w:tcPr/>
          <w:p>
            <w:pPr>
              <w:pStyle w:val="Compact"/>
            </w:pPr>
            <w:r>
              <w:t xml:space="preserve">Anti-target mask; Insert A template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1M4H / P10–P4′ StatVal</w:t>
            </w:r>
          </w:p>
        </w:tc>
        <w:tc>
          <w:tcPr/>
          <w:p>
            <w:pPr>
              <w:pStyle w:val="Compact"/>
            </w:pPr>
            <w:r>
              <w:t xml:space="preserve">Long peptide-like ligand</w:t>
            </w:r>
          </w:p>
        </w:tc>
        <w:tc>
          <w:tcPr/>
          <w:p>
            <w:pPr>
              <w:pStyle w:val="Compact"/>
            </w:pPr>
            <w:r>
              <w:t xml:space="preserve">Register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3R1G</w:t>
            </w:r>
          </w:p>
        </w:tc>
        <w:tc>
          <w:tcPr/>
          <w:p>
            <w:pPr>
              <w:pStyle w:val="Compact"/>
            </w:pPr>
            <w:r>
              <w:t xml:space="preserve">Exosite Fab</w:t>
            </w:r>
          </w:p>
        </w:tc>
        <w:tc>
          <w:tcPr/>
          <w:p>
            <w:pPr>
              <w:pStyle w:val="Compact"/>
            </w:pPr>
            <w:r>
              <w:t xml:space="preserve">P0-C hotspot #2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2LP1 (NMR C99)</w:t>
            </w:r>
          </w:p>
        </w:tc>
        <w:tc>
          <w:tcPr/>
          <w:p>
            <w:pPr>
              <w:pStyle w:val="Compact"/>
            </w:pPr>
            <w:r>
              <w:t xml:space="preserve">APP TM + juxta</w:t>
            </w:r>
          </w:p>
        </w:tc>
        <w:tc>
          <w:tcPr/>
          <w:p>
            <w:pPr>
              <w:pStyle w:val="Compact"/>
            </w:pPr>
            <w:r>
              <w:t xml:space="preserve">P0-C encounter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BACE2 (e.g. 2EWY), CatD (1LYB)</w:t>
            </w:r>
          </w:p>
        </w:tc>
        <w:tc>
          <w:tcPr/>
          <w:p>
            <w:pPr>
              <w:pStyle w:val="Compact"/>
            </w:pPr>
            <w:r>
              <w:t xml:space="preserve">Anti-targets</w:t>
            </w:r>
          </w:p>
        </w:tc>
        <w:tc>
          <w:tcPr/>
          <w:p>
            <w:pPr>
              <w:pStyle w:val="Compact"/>
            </w:pPr>
            <w:r>
              <w:t xml:space="preserve">P0-C filter</w:t>
            </w:r>
          </w:p>
        </w:tc>
      </w:tr>
    </w:tbl>
    <w:p>
      <w:pPr>
        <w:pStyle w:val="BodyText"/>
      </w:pPr>
      <w:r>
        <w:rPr>
          <w:b/>
          <w:bCs/>
        </w:rPr>
        <w:t xml:space="preserve">Prep steps.</w:t>
      </w:r>
      <w:r>
        <w:t xml:space="preserve"> </w:t>
      </w:r>
      <w:r>
        <w:t xml:space="preserve">Chain A ectodomain; mature numbering (Asp32/228; flap 67–77; 10s 9–14; Insert A ~158–167; Insert F ~311–317); rebuild Insert A from 1FKN; ACE/NME; no TMD for P0-A/B; PROPKA3 + PDB2PQR at pH 4.5 then force Asp32-H (OD2) / Asp228; save swapped-dyad replica for 100 ns; ff19SB+TIP3P or CHARMM36m (pick one); ≥12 Å box, 150 mM NaCl; min/heat/NPT as in the canvas (310 K, 1 bar, Langevin, PME 10 Å, 2 fs).</w:t>
      </w:r>
    </w:p>
    <w:p>
      <w:pPr>
        <w:pStyle w:val="BodyText"/>
      </w:pPr>
      <w:r>
        <w:t xml:space="preserve">Literature default for the Michaelis complex is Asp32-H / Asp228 (Ellis &amp; Shen 2015 on pH-dependent dyad). If flap RMSD or scissile geometry diverges in the swapped replica, report both.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Sequence (scissile ↓)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APP_WT_β</w:t>
            </w:r>
          </w:p>
        </w:tc>
        <w:tc>
          <w:tcPr/>
          <w:p>
            <w:pPr>
              <w:pStyle w:val="Compact"/>
            </w:pPr>
            <w:r>
              <w:t xml:space="preserve">SEVKM↓DAEFRHD</w:t>
            </w:r>
          </w:p>
        </w:tc>
        <w:tc>
          <w:tcPr/>
          <w:p>
            <w:pPr>
              <w:pStyle w:val="Compact"/>
            </w:pPr>
            <w:r>
              <w:t xml:space="preserve">APP770 667–678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APP_Swe_β</w:t>
            </w:r>
          </w:p>
        </w:tc>
        <w:tc>
          <w:tcPr/>
          <w:p>
            <w:pPr>
              <w:pStyle w:val="Compact"/>
            </w:pPr>
            <w:r>
              <w:t xml:space="preserve">SEVNL↓DAEFRHD</w:t>
            </w:r>
          </w:p>
        </w:tc>
        <w:tc>
          <w:tcPr/>
          <w:p>
            <w:pPr>
              <w:pStyle w:val="Compact"/>
            </w:pPr>
            <w:r>
              <w:t xml:space="preserve">Swedish; ~60× better — do not overfit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APP_Ice_β</w:t>
            </w:r>
          </w:p>
        </w:tc>
        <w:tc>
          <w:tcPr/>
          <w:p>
            <w:pPr>
              <w:pStyle w:val="Compact"/>
            </w:pPr>
            <w:r>
              <w:t xml:space="preserve">SEVKM↓DTEFRHD</w:t>
            </w:r>
          </w:p>
        </w:tc>
        <w:tc>
          <w:tcPr/>
          <w:p>
            <w:pPr>
              <w:pStyle w:val="Compact"/>
            </w:pPr>
            <w:r>
              <w:t xml:space="preserve">A673T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APP_Path_β</w:t>
            </w:r>
          </w:p>
        </w:tc>
        <w:tc>
          <w:tcPr/>
          <w:p>
            <w:pPr>
              <w:pStyle w:val="Compact"/>
            </w:pPr>
            <w:r>
              <w:t xml:space="preserve">SEVKM↓DVEFRHD</w:t>
            </w:r>
          </w:p>
        </w:tc>
        <w:tc>
          <w:tcPr/>
          <w:p>
            <w:pPr>
              <w:pStyle w:val="Compact"/>
            </w:pPr>
            <w:r>
              <w:t xml:space="preserve">A673V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APP_WT_β′</w:t>
            </w:r>
          </w:p>
        </w:tc>
        <w:tc>
          <w:tcPr/>
          <w:p>
            <w:pPr>
              <w:pStyle w:val="Compact"/>
            </w:pPr>
            <w:r>
              <w:t xml:space="preserve">FRHDSGY↓EVHHQK</w:t>
            </w:r>
          </w:p>
        </w:tc>
        <w:tc>
          <w:tcPr/>
          <w:p>
            <w:pPr>
              <w:pStyle w:val="Compact"/>
            </w:pPr>
            <w:r>
              <w:t xml:space="preserve">Glu11 / C89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SEZ6</w:t>
            </w:r>
          </w:p>
        </w:tc>
        <w:tc>
          <w:tcPr/>
          <w:p>
            <w:pPr>
              <w:pStyle w:val="Compact"/>
            </w:pPr>
            <w:r>
              <w:t xml:space="preserve">YNGRSL↓DVAKAP</w:t>
            </w:r>
          </w:p>
        </w:tc>
        <w:tc>
          <w:tcPr/>
          <w:p>
            <w:pPr>
              <w:pStyle w:val="Compact"/>
            </w:pPr>
            <w:r>
              <w:t xml:space="preserve">Pigoni 2016; 25-mer for AF3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NRG1</w:t>
            </w:r>
          </w:p>
        </w:tc>
        <w:tc>
          <w:tcPr/>
          <w:p>
            <w:pPr>
              <w:pStyle w:val="Compact"/>
            </w:pPr>
            <w:r>
              <w:t xml:space="preserve">KHLGIEF↓MEAEEL</w:t>
            </w:r>
          </w:p>
        </w:tc>
        <w:tc>
          <w:tcPr/>
          <w:p>
            <w:pPr>
              <w:pStyle w:val="Compact"/>
            </w:pPr>
            <w:r>
              <w:t xml:space="preserve">Type I / III-β1 stalk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CHL1</w:t>
            </w:r>
          </w:p>
        </w:tc>
        <w:tc>
          <w:tcPr/>
          <w:p>
            <w:pPr>
              <w:pStyle w:val="Compact"/>
            </w:pPr>
            <w:r>
              <w:t xml:space="preserve">DSIFQ↓DVIETR</w:t>
            </w:r>
          </w:p>
        </w:tc>
        <w:tc>
          <w:tcPr/>
          <w:p>
            <w:pPr>
              <w:pStyle w:val="Compact"/>
            </w:pPr>
            <w:r>
              <w:t xml:space="preserve">Q1061↓D1062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gp130</w:t>
            </w:r>
          </w:p>
        </w:tc>
        <w:tc>
          <w:tcPr/>
          <w:p>
            <w:pPr>
              <w:pStyle w:val="Compact"/>
            </w:pPr>
            <w:r>
              <w:t xml:space="preserve">juxta-TM scan of IL6ST</w:t>
            </w:r>
          </w:p>
        </w:tc>
        <w:tc>
          <w:tcPr/>
          <w:p>
            <w:pPr>
              <w:pStyle w:val="Compact"/>
            </w:pPr>
            <w:r>
              <w:t xml:space="preserve">Site not mapped</w:t>
            </w:r>
          </w:p>
        </w:tc>
      </w:tr>
    </w:tbl>
    <w:p>
      <w:pPr>
        <w:pStyle w:val="BodyText"/>
      </w:pPr>
      <w:r>
        <w:t xml:space="preserve">AF3/Boltz: 15–25 aa. MD in the cleft: P6–P6′ once register is correct. ACE/NME caps.</w:t>
      </w:r>
    </w:p>
    <w:bookmarkEnd w:id="9"/>
    <w:bookmarkStart w:id="10" w:name="p0-a-substrate-atlas"/>
    <w:p>
      <w:pPr>
        <w:pStyle w:val="Heading1"/>
      </w:pPr>
      <w:r>
        <w:t xml:space="preserve">P0-A — Substrate atlas</w:t>
      </w:r>
    </w:p>
    <w:p>
      <w:pPr>
        <w:pStyle w:val="FirstParagraph"/>
      </w:pPr>
      <w:r>
        <w:t xml:space="preserve">Goal: APP-unique contacts and waters. 9 peptide complexes; 3 × 500 ns each; pH 4.5 Asp32-H / Asp228.</w:t>
      </w:r>
    </w:p>
    <w:p>
      <w:pPr>
        <w:pStyle w:val="BodyText"/>
      </w:pPr>
      <w:r>
        <w:rPr>
          <w:b/>
          <w:bCs/>
        </w:rPr>
        <w:t xml:space="preserve">Complexes.</w:t>
      </w:r>
      <w:r>
        <w:t xml:space="preserve"> </w:t>
      </w:r>
      <w:r>
        <w:t xml:space="preserve">AF3/Boltz 5 models; accept only productive register (P1 Cα within 6 Å of Asp32 CG; scissile O within 4.5 Å of catalytic water; P1 in S1). HADDOCK/FlexPepDock backup on 1W50 open flap only. Align on BACE1 Cα excluding flap/10s/inserts.</w:t>
      </w:r>
    </w:p>
    <w:p>
      <w:pPr>
        <w:pStyle w:val="BodyText"/>
      </w:pPr>
      <w:r>
        <w:rPr>
          <w:b/>
          <w:bCs/>
        </w:rPr>
        <w:t xml:space="preserve">MD.</w:t>
      </w:r>
      <w:r>
        <w:t xml:space="preserve"> </w:t>
      </w:r>
      <w:r>
        <w:t xml:space="preserve">OpenMM 8 or GROMACS 2024; 3 velocities; 500 ns; 310 K; no production restraints (optional 1 kcal on peptide termini then release); coords every 10 ps; do not restrain catalytic water; one 100 ns swapped-dyad APP_WT and SEZ6.</w:t>
      </w:r>
    </w:p>
    <w:p>
      <w:pPr>
        <w:pStyle w:val="BodyText"/>
      </w:pPr>
      <w:r>
        <w:rPr>
          <w:b/>
          <w:bCs/>
        </w:rPr>
        <w:t xml:space="preserve">Analysis.</w:t>
      </w:r>
      <w:r>
        <w:t xml:space="preserve"> </w:t>
      </w:r>
      <w:r>
        <w:t xml:space="preserve">Register distances; flap Tyr71–Asp228 CG (closed ~10 Å, open ~15–30 Å); GetContacts occupancy ≥0.4; APP-unique = APP occupancy ≥0.4 and SEZ6 &lt;0.15; MM-GBSA per residue; GIST/SSTMap waters; APBS at pH 4.5.</w:t>
      </w:r>
    </w:p>
    <w:p>
      <w:pPr>
        <w:pStyle w:val="BodyText"/>
      </w:pPr>
      <w:r>
        <w:rPr>
          <w:b/>
          <w:bCs/>
        </w:rPr>
        <w:t xml:space="preserve">Done when you export:</w:t>
      </w:r>
      <w:r>
        <w:t xml:space="preserve"> </w:t>
      </w:r>
      <w:r>
        <w:t xml:space="preserve">contact_matrix.csv; app_unique_residues.txt; app_unique_waters.pdb; representative snapshots; β vs β′ register plot. If APP and SEZ6 fingerprints match, do not start P0-C.</w:t>
      </w:r>
    </w:p>
    <w:bookmarkEnd w:id="10"/>
    <w:bookmarkStart w:id="11" w:name="p0-b-icelandic-mimic"/>
    <w:p>
      <w:pPr>
        <w:pStyle w:val="Heading1"/>
      </w:pPr>
      <w:r>
        <w:t xml:space="preserve">P0-B — Icelandic mimic</w:t>
      </w:r>
    </w:p>
    <w:p>
      <w:pPr>
        <w:pStyle w:val="FirstParagraph"/>
      </w:pPr>
      <w:r>
        <w:t xml:space="preserve">Starting snapshots from P0-A (not 1FKN): WT_β, Ice_β, Path_β, WT_β′, SEZ6.</w:t>
      </w:r>
    </w:p>
    <w:p>
      <w:pPr>
        <w:pStyle w:val="BodyText"/>
      </w:pPr>
      <w:r>
        <w:rPr>
          <w:b/>
          <w:bCs/>
        </w:rPr>
        <w:t xml:space="preserve">FEP.</w:t>
      </w:r>
      <w:r>
        <w:t xml:space="preserve"> </w:t>
      </w:r>
      <w:r>
        <w:t xml:space="preserve">OpenFE / pmx / FEP+; Ala→Thr, Thr→Val, Ala→Val in complex and free peptide; 12–16 λ; Boresch on peptide backbone vs BACE1 core; 1 ns eq + 5 ns/window; MBAR; overlap &lt;0.03 → add windows. A673T should destabilize β-register or distort P1–P1′ vs WT; A673V opposite. If FEP says Ice binds tighter in the β pose, rebuild from β′.</w:t>
      </w:r>
    </w:p>
    <w:p>
      <w:pPr>
        <w:pStyle w:val="BodyText"/>
      </w:pPr>
      <w:r>
        <w:rPr>
          <w:b/>
          <w:bCs/>
        </w:rPr>
        <w:t xml:space="preserve">QM/MM.</w:t>
      </w:r>
      <w:r>
        <w:t xml:space="preserve"> </w:t>
      </w:r>
      <w:r>
        <w:t xml:space="preserve">Gem-diol: water attack then cleavage. QM: Asp32, Asp228, catalytic water, P1, P1′ (~60–80 atoms). DFT B3LYP-D3(BJ)/def2-SVP opt, def2-TZVP SP. Scan water O–scissile C 2.8 → 1.4 Å. Success: ΔΔE‡ (Ice − WT) at β-site ≈ +2 to +4 kcal/mol; β′ barrier for Ice ≤ WT; SEZ6 ΔE‡ unchanged within ~1 kcal/mol.</w:t>
      </w:r>
    </w:p>
    <w:p>
      <w:pPr>
        <w:pStyle w:val="BodyText"/>
      </w:pPr>
      <w:r>
        <w:rPr>
          <w:b/>
          <w:bCs/>
        </w:rPr>
        <w:t xml:space="preserve">Ligand design copies Thr, not OM99-2.</w:t>
      </w:r>
      <w:r>
        <w:t xml:space="preserve"> </w:t>
      </w:r>
      <w:r>
        <w:t xml:space="preserve">If the ligand is a hydroxyethylamine in the dyad, you reinvented CTS-21166.</w:t>
      </w:r>
    </w:p>
    <w:bookmarkEnd w:id="11"/>
    <w:bookmarkStart w:id="12" w:name="p0-c-ppi-asbi-screen"/>
    <w:p>
      <w:pPr>
        <w:pStyle w:val="Heading1"/>
      </w:pPr>
      <w:r>
        <w:t xml:space="preserve">P0-C — PPI / ASBI screen</w:t>
      </w:r>
    </w:p>
    <w:p>
      <w:pPr>
        <w:pStyle w:val="FirstParagraph"/>
      </w:pPr>
      <w:r>
        <w:t xml:space="preserve">Pockets from P0-A, not SiteMap on 1FKN alone: (A) APP-unique BACE1 surface with cleft masked; (B) APP peptide / C99 juxta; (C) encounter groove with 2LP1; (D) 3R1G exosite after Fab removal.</w:t>
      </w:r>
      <w:r>
        <w:t xml:space="preserve"> </w:t>
      </w:r>
      <w:r>
        <w:rPr>
          <w:b/>
          <w:bCs/>
        </w:rPr>
        <w:t xml:space="preserve">MASK:</w:t>
      </w:r>
      <w:r>
        <w:t xml:space="preserve"> </w:t>
      </w:r>
      <w:r>
        <w:t xml:space="preserve">all atoms within 5 Å of Asp32, Asp228, and 1FKN OM99-2.</w:t>
      </w:r>
    </w:p>
    <w:p>
      <w:pPr>
        <w:pStyle w:val="BodyText"/>
      </w:pPr>
      <w:r>
        <w:t xml:space="preserve">Ensemble: 5 BACE1 from APP_WT MD + 3 apo 1W50 + 3 APP peptide conformers.</w:t>
      </w:r>
    </w:p>
    <w:p>
      <w:pPr>
        <w:pStyle w:val="BodyText"/>
      </w:pPr>
      <w:r>
        <w:t xml:space="preserve">Library: Enamine CNS + ZINC20 in-stock; MW 200–450, cLogP 1–4, TPSA 40–90, HBD ≤2, CNS MPO ≥4, no PAINS, no aspartyl warheads except a tiny FAH focused set. Protonate at pH 5.0 and 7.4.</w:t>
      </w:r>
    </w:p>
    <w:p>
      <w:pPr>
        <w:pStyle w:val="BodyText"/>
      </w:pPr>
      <w:r>
        <w:t xml:space="preserve">Docking: GNINA/Vina exhaustiveness 8; keep top 5,000 Bemis–Murcko; hard fail if ligand &lt;3.5 Å from both Asp OD atoms or RMSD &lt;3 Å to 1FKN ligand. Keep ligands that still bind when OM99-2 occupies the dyad and lose score when APP peptide is bound.</w:t>
      </w:r>
    </w:p>
    <w:p>
      <w:pPr>
        <w:pStyle w:val="BodyText"/>
      </w:pPr>
      <w:r>
        <w:t xml:space="preserve">Post-dock: top 200 × 3 × 50 ns; top 30 × 200 ns in APP_WT and SEZ6; CatD (1LYB) and BACE2; P-gp/hERG/CYP/hepatotox.</w:t>
      </w:r>
    </w:p>
    <w:p>
      <w:pPr>
        <w:pStyle w:val="BodyText"/>
      </w:pPr>
      <w:r>
        <w:t xml:space="preserve">A P0-C hit requires pose in A–D not the dyad, in silico competition, MD-stable 50 ns, APP MM-GBSA better than SEZ6, filters pass, then SPR ± OM99-2 and the enzymatic panel.</w:t>
      </w:r>
    </w:p>
    <w:bookmarkEnd w:id="12"/>
    <w:bookmarkStart w:id="13" w:name="sources"/>
    <w:p>
      <w:pPr>
        <w:pStyle w:val="Heading1"/>
      </w:pPr>
      <w:r>
        <w:t xml:space="preserve">Sources</w:t>
      </w:r>
    </w:p>
    <w:p>
      <w:pPr>
        <w:pStyle w:val="FirstParagraph"/>
      </w:pPr>
      <w:r>
        <w:rPr>
          <w:b/>
          <w:bCs/>
        </w:rPr>
        <w:t xml:space="preserve">Structures.</w:t>
      </w:r>
      <w:r>
        <w:t xml:space="preserve"> </w:t>
      </w:r>
      <w:r>
        <w:t xml:space="preserve">Patel S, et al. </w:t>
      </w:r>
      <w:r>
        <w:rPr>
          <w:i/>
          <w:iCs/>
        </w:rPr>
        <w:t xml:space="preserve">J Mol Biol.</w:t>
      </w:r>
      <w:r>
        <w:t xml:space="preserve"> </w:t>
      </w:r>
      <w:r>
        <w:t xml:space="preserve">2004;343:407–416 (1W50). Hong L, et al. </w:t>
      </w:r>
      <w:r>
        <w:rPr>
          <w:i/>
          <w:iCs/>
        </w:rPr>
        <w:t xml:space="preserve">Science.</w:t>
      </w:r>
      <w:r>
        <w:t xml:space="preserve"> </w:t>
      </w:r>
      <w:r>
        <w:t xml:space="preserve">2000;290:150–153 (1FKN). Hong L, et al. </w:t>
      </w:r>
      <w:r>
        <w:rPr>
          <w:i/>
          <w:iCs/>
        </w:rPr>
        <w:t xml:space="preserve">Biochemistry.</w:t>
      </w:r>
      <w:r>
        <w:t xml:space="preserve"> </w:t>
      </w:r>
      <w:r>
        <w:t xml:space="preserve">2002;41:10963–10967 (1M4H). Atwal JK, et al. </w:t>
      </w:r>
      <w:r>
        <w:rPr>
          <w:i/>
          <w:iCs/>
        </w:rPr>
        <w:t xml:space="preserve">Sci Transl Med.</w:t>
      </w:r>
      <w:r>
        <w:t xml:space="preserve"> </w:t>
      </w:r>
      <w:r>
        <w:t xml:space="preserve">2011;3:84ra43 (3R1G). Barrett PJ, et al. </w:t>
      </w:r>
      <w:r>
        <w:rPr>
          <w:i/>
          <w:iCs/>
        </w:rPr>
        <w:t xml:space="preserve">Science.</w:t>
      </w:r>
      <w:r>
        <w:t xml:space="preserve"> </w:t>
      </w:r>
      <w:r>
        <w:t xml:space="preserve">2012;336:1168–1171 (2LP1). CatD 1LYB: Baldwin ET, et al. </w:t>
      </w:r>
      <w:r>
        <w:rPr>
          <w:i/>
          <w:iCs/>
        </w:rPr>
        <w:t xml:space="preserve">Proc Natl Acad Sci USA.</w:t>
      </w:r>
      <w:r>
        <w:t xml:space="preserve"> </w:t>
      </w:r>
      <w:r>
        <w:t xml:space="preserve">1993.</w:t>
      </w:r>
    </w:p>
    <w:p>
      <w:pPr>
        <w:pStyle w:val="BodyText"/>
      </w:pPr>
      <w:r>
        <w:rPr>
          <w:b/>
          <w:bCs/>
        </w:rPr>
        <w:t xml:space="preserve">Protonation / FF.</w:t>
      </w:r>
      <w:r>
        <w:t xml:space="preserve"> </w:t>
      </w:r>
      <w:r>
        <w:t xml:space="preserve">Olsson MHM, et al. </w:t>
      </w:r>
      <w:r>
        <w:rPr>
          <w:i/>
          <w:iCs/>
        </w:rPr>
        <w:t xml:space="preserve">J Chem Theory Comput.</w:t>
      </w:r>
      <w:r>
        <w:t xml:space="preserve"> </w:t>
      </w:r>
      <w:r>
        <w:t xml:space="preserve">2011;7:525–537 (PROPKA3). Jurrus E, et al. </w:t>
      </w:r>
      <w:r>
        <w:rPr>
          <w:i/>
          <w:iCs/>
        </w:rPr>
        <w:t xml:space="preserve">Protein Sci.</w:t>
      </w:r>
      <w:r>
        <w:t xml:space="preserve"> </w:t>
      </w:r>
      <w:r>
        <w:t xml:space="preserve">2018;27:112–128 (PDB2PQR). Tian C, et al. </w:t>
      </w:r>
      <w:r>
        <w:rPr>
          <w:i/>
          <w:iCs/>
        </w:rPr>
        <w:t xml:space="preserve">J Chem Theory Comput.</w:t>
      </w:r>
      <w:r>
        <w:t xml:space="preserve"> </w:t>
      </w:r>
      <w:r>
        <w:t xml:space="preserve">2020;16:528–552 (ff19SB). Ellis CR, Shen J.</w:t>
      </w:r>
      <w:r>
        <w:t xml:space="preserve"> </w:t>
      </w:r>
      <w:r>
        <w:rPr>
          <w:i/>
          <w:iCs/>
        </w:rPr>
        <w:t xml:space="preserve">J Am Chem Soc.</w:t>
      </w:r>
      <w:r>
        <w:t xml:space="preserve"> </w:t>
      </w:r>
      <w:r>
        <w:t xml:space="preserve">2015;137:9543–9546 (pH-dependent dyad). Default Michaelis: Asp32-H / Asp228.</w:t>
      </w:r>
    </w:p>
    <w:p>
      <w:pPr>
        <w:pStyle w:val="BodyText"/>
      </w:pPr>
      <w:r>
        <w:rPr>
          <w:b/>
          <w:bCs/>
        </w:rPr>
        <w:t xml:space="preserve">Peptides.</w:t>
      </w:r>
      <w:r>
        <w:t xml:space="preserve"> </w:t>
      </w:r>
      <w:r>
        <w:t xml:space="preserve">Swedish: Mullan M, et al. </w:t>
      </w:r>
      <w:r>
        <w:rPr>
          <w:i/>
          <w:iCs/>
        </w:rPr>
        <w:t xml:space="preserve">Nat Genet.</w:t>
      </w:r>
      <w:r>
        <w:t xml:space="preserve"> </w:t>
      </w:r>
      <w:r>
        <w:t xml:space="preserve">1992. A673T: Jonsson 2012. SEZ6: Pigoni 2016. NRG1: Willem 2006. CHL1: Kuhn 2012.</w:t>
      </w:r>
    </w:p>
    <w:p>
      <w:pPr>
        <w:pStyle w:val="BodyText"/>
      </w:pPr>
      <w:r>
        <w:rPr>
          <w:b/>
          <w:bCs/>
        </w:rPr>
        <w:t xml:space="preserve">FEP / QM.</w:t>
      </w:r>
      <w:r>
        <w:t xml:space="preserve"> </w:t>
      </w:r>
      <w:r>
        <w:t xml:space="preserve">Shirts MR, Chodera JD.</w:t>
      </w:r>
      <w:r>
        <w:t xml:space="preserve"> </w:t>
      </w:r>
      <w:r>
        <w:rPr>
          <w:i/>
          <w:iCs/>
        </w:rPr>
        <w:t xml:space="preserve">J Chem Theory Comput.</w:t>
      </w:r>
      <w:r>
        <w:t xml:space="preserve"> </w:t>
      </w:r>
      <w:r>
        <w:t xml:space="preserve">2008 (MBAR). Aspartyl gem-diol path is standard for pepsin-like proteases; BACE1 QM/MM water-attack barriers are typically ~18–22 kcal/mol for WT APP.</w:t>
      </w:r>
    </w:p>
    <w:p>
      <w:pPr>
        <w:pStyle w:val="BodyText"/>
      </w:pPr>
      <w:r>
        <w:rPr>
          <w:b/>
          <w:bCs/>
        </w:rPr>
        <w:t xml:space="preserve">Gates.</w:t>
      </w:r>
      <w:r>
        <w:t xml:space="preserve"> </w:t>
      </w:r>
      <w:r>
        <w:t xml:space="preserve">Pratsch 2023 (spines); Zuhl 2016 (CatD); Campagna 2025 (FAH65); Wager 2010 (CNS MPO).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P0-A / P0-B / P0-C: step-by-step computational protocols</dc:title>
  <dc:creator>BACE1_Discovery canvas (print of all tabs)</dc:creator>
  <cp:keywords/>
  <dcterms:created xsi:type="dcterms:W3CDTF">2026-09-18T04:27:47Z</dcterms:created>
  <dcterms:modified xsi:type="dcterms:W3CDTF">2026-09-18T04:27:47Z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lorlinks">
    <vt:lpwstr>True</vt:lpwstr>
  </property>
  <property fmtid="{D5CDD505-2E9C-101B-9397-08002B2CF9AE}" pid="3" name="date">
    <vt:lpwstr>2026-09-18</vt:lpwstr>
  </property>
  <property fmtid="{D5CDD505-2E9C-101B-9397-08002B2CF9AE}" pid="4" name="fontsize">
    <vt:lpwstr>10pt</vt:lpwstr>
  </property>
  <property fmtid="{D5CDD505-2E9C-101B-9397-08002B2CF9AE}" pid="5" name="geometry">
    <vt:lpwstr>margin=0.85in</vt:lpwstr>
  </property>
  <property fmtid="{D5CDD505-2E9C-101B-9397-08002B2CF9AE}" pid="6" name="header-includes">
    <vt:lpwstr/>
  </property>
  <property fmtid="{D5CDD505-2E9C-101B-9397-08002B2CF9AE}" pid="7" name="linkcolor">
    <vt:lpwstr>blue</vt:lpwstr>
  </property>
  <property fmtid="{D5CDD505-2E9C-101B-9397-08002B2CF9AE}" pid="8" name="mainfont">
    <vt:lpwstr>Noto Sans</vt:lpwstr>
  </property>
  <property fmtid="{D5CDD505-2E9C-101B-9397-08002B2CF9AE}" pid="9" name="urlcolor">
    <vt:lpwstr>blue</vt:lpwstr>
  </property>
</Properties>
</file>